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26000D" w:rsidRPr="002D7201" w:rsidP="008A7E71" w14:paraId="33E7C54F" w14:textId="77777777">
      <w:pPr>
        <w:pStyle w:val="MainTitle"/>
      </w:pPr>
      <w:r w:rsidRPr="00DD4A15" w:rsidR="00DD4A15">
        <w:drawing>
          <wp:anchor simplePos="0" relativeHeight="251658240" behindDoc="0" locked="1" layoutInCell="1" allowOverlap="1">
            <wp:simplePos x="0" y="0"/>
            <wp:positionH relativeFrom="margin">
              <wp:posOffset>2730500</wp:posOffset>
            </wp:positionH>
            <wp:positionV relativeFrom="margin">
              <wp:posOffset>6223000</wp:posOffset>
            </wp:positionV>
            <wp:extent cx="1645923" cy="1120142"/>
            <wp:wrapNone/>
            <wp:docPr id="100037"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374870" name=""/>
                    <pic:cNvPicPr>
                      <a:picLocks noChangeAspect="1"/>
                    </pic:cNvPicPr>
                  </pic:nvPicPr>
                  <pic:blipFill>
                    <a:blip xmlns:r="http://schemas.openxmlformats.org/officeDocument/2006/relationships" r:embed="rId4"/>
                    <a:stretch>
                      <a:fillRect/>
                    </a:stretch>
                  </pic:blipFill>
                  <pic:spPr>
                    <a:xfrm>
                      <a:off x="0" y="0"/>
                      <a:ext cx="1645923" cy="1120142"/>
                    </a:xfrm>
                    <a:prstGeom prst="rect">
                      <a:avLst/>
                    </a:prstGeom>
                  </pic:spPr>
                </pic:pic>
              </a:graphicData>
            </a:graphic>
          </wp:anchor>
        </w:drawing>
      </w:r>
      <w:bookmarkStart w:id="0" w:name="_GoBack"/>
      <w:r w:rsidRPr="002D7201">
        <w:rPr>
          <w:noProof/>
        </w:rPr>
        <mc:AlternateContent>
          <mc:Choice Requires="wpg">
            <w:drawing>
              <wp:anchor distT="0" distB="0" distL="114300" distR="114300" simplePos="0" relativeHeight="251665408" behindDoc="1" locked="0" layoutInCell="1" allowOverlap="1">
                <wp:simplePos x="0" y="0"/>
                <wp:positionH relativeFrom="column">
                  <wp:posOffset>-450272</wp:posOffset>
                </wp:positionH>
                <wp:positionV relativeFrom="page">
                  <wp:posOffset>2507615</wp:posOffset>
                </wp:positionV>
                <wp:extent cx="7772400" cy="2968625"/>
                <wp:effectExtent l="0" t="0" r="0" b="3175"/>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2968625"/>
                          <a:chOff x="3878" y="0"/>
                          <a:chExt cx="7772398" cy="2968798"/>
                        </a:xfrm>
                      </wpg:grpSpPr>
                      <wpg:grpSp>
                        <wpg:cNvPr id="2016683556" name="Group 2"/>
                        <wpg:cNvGrpSpPr/>
                        <wpg:grpSpPr>
                          <a:xfrm>
                            <a:off x="3878" y="0"/>
                            <a:ext cx="7772398" cy="962794"/>
                            <a:chOff x="3878" y="0"/>
                            <a:chExt cx="7772398" cy="962794"/>
                          </a:xfrm>
                        </wpg:grpSpPr>
                        <pic:pic xmlns:pic="http://schemas.openxmlformats.org/drawingml/2006/picture">
                          <pic:nvPicPr>
                            <pic:cNvPr id="3" name="Picture 3"/>
                            <pic:cNvPicPr>
                              <a:picLocks noChangeAspect="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3878" y="327660"/>
                              <a:ext cx="7772398" cy="635134"/>
                            </a:xfrm>
                            <a:prstGeom prst="rect">
                              <a:avLst/>
                            </a:prstGeom>
                          </pic:spPr>
                        </pic:pic>
                        <wps:wsp xmlns:wps="http://schemas.microsoft.com/office/word/2010/wordprocessingShape">
                          <wps:cNvPr id="6" name="Text Box 2"/>
                          <wps:cNvSpPr txBox="1">
                            <a:spLocks noChangeArrowheads="1"/>
                          </wps:cNvSpPr>
                          <wps:spPr bwMode="auto">
                            <a:xfrm>
                              <a:off x="5021580" y="0"/>
                              <a:ext cx="2413000" cy="329565"/>
                            </a:xfrm>
                            <a:prstGeom prst="rect">
                              <a:avLst/>
                            </a:prstGeom>
                            <a:noFill/>
                            <a:ln w="9525">
                              <a:noFill/>
                              <a:miter lim="800000"/>
                              <a:headEnd/>
                              <a:tailEnd/>
                            </a:ln>
                          </wps:spPr>
                          <wps:txbx>
                            <w:txbxContent>
                              <w:p w:rsidR="00A95ADA" w:rsidRPr="00B27C10" w:rsidP="00036D4E" w14:textId="77777777">
                                <w:pPr>
                                  <w:pStyle w:val="SectionedHeader"/>
                                </w:pPr>
                                <w:r>
                                  <w:t>Sectioned Information</w:t>
                                </w:r>
                              </w:p>
                            </w:txbxContent>
                          </wps:txbx>
                          <wps:bodyPr rot="0" vert="horz" wrap="square" anchor="t" anchorCtr="0"/>
                        </wps:wsp>
                      </wpg:grpSp>
                      <wps:wsp xmlns:wps="http://schemas.microsoft.com/office/word/2010/wordprocessingShape">
                        <wps:cNvPr id="217" name="Text Box 2"/>
                        <wps:cNvSpPr txBox="1">
                          <a:spLocks noChangeArrowheads="1"/>
                        </wps:cNvSpPr>
                        <wps:spPr bwMode="auto">
                          <a:xfrm>
                            <a:off x="5022273" y="360218"/>
                            <a:ext cx="2413000" cy="2608580"/>
                          </a:xfrm>
                          <a:prstGeom prst="rect">
                            <a:avLst/>
                          </a:prstGeom>
                          <a:noFill/>
                          <a:ln w="9525">
                            <a:noFill/>
                            <a:miter lim="800000"/>
                            <a:headEnd/>
                            <a:tailEnd/>
                          </a:ln>
                        </wps:spPr>
                        <wps:txbx>
                          <w:txbxContent>
                            <w:p w:rsidR="00677643" w:rsidRPr="00677643" w:rsidP="00677643" w14:textId="77777777">
                              <w:pPr>
                                <w:pStyle w:val="Checkbox"/>
                                <w:jc w:val="left"/>
                              </w:pPr>
                              <w:r w:rsidRPr="00677643">
                                <w:t>The final rule increases the standard salary level for the EAP exemptions to $684 per week ($35,568 per year).</w:t>
                              </w:r>
                            </w:p>
                            <w:p w:rsidR="00677643" w:rsidRPr="00677643" w:rsidP="00677643" w14:textId="77777777">
                              <w:pPr>
                                <w:pStyle w:val="Checkbox"/>
                                <w:jc w:val="left"/>
                              </w:pPr>
                              <w:r w:rsidRPr="00677643">
                                <w:t>The final rule increases the salary level</w:t>
                              </w:r>
                              <w:r>
                                <w:t xml:space="preserve"> for highly compensated employees </w:t>
                              </w:r>
                              <w:r w:rsidRPr="00677643">
                                <w:t>to $107,432 per year.</w:t>
                              </w:r>
                            </w:p>
                            <w:p w:rsidR="0024208C" w:rsidRPr="00526C74" w:rsidP="00677643" w14:textId="059C3F3E">
                              <w:pPr>
                                <w:pStyle w:val="Checkbox"/>
                                <w:jc w:val="left"/>
                              </w:pPr>
                              <w:r w:rsidRPr="00677643">
                                <w:t xml:space="preserve">The final rule </w:t>
                              </w:r>
                              <w:r>
                                <w:t xml:space="preserve">allows employers to use </w:t>
                              </w:r>
                              <w:r w:rsidRPr="00677643">
                                <w:t>nondiscretionary bonuses to satisfy up to 10</w:t>
                              </w:r>
                              <w:r w:rsidR="004C3795">
                                <w:t>%</w:t>
                              </w:r>
                              <w:r w:rsidRPr="00677643">
                                <w:t xml:space="preserve"> of an employee’s salary level.</w:t>
                              </w:r>
                            </w:p>
                          </w:txbxContent>
                        </wps:txbx>
                        <wps:bodyPr rot="0" vert="horz" wrap="square" anchor="t" anchorCtr="0"/>
                      </wps:wsp>
                    </wpg:wgp>
                  </a:graphicData>
                </a:graphic>
              </wp:anchor>
            </w:drawing>
          </mc:Choice>
          <mc:Fallback>
            <w:pict>
              <v:group id="Group 7" o:spid="_x0000_s1025" style="width:612pt;height:233.75pt;margin-top:197.45pt;margin-left:-35.45pt;mso-position-vertical-relative:page;position:absolute;z-index:-251650048" coordorigin="38,0" coordsize="77723,29687">
                <v:group id="Group 2" o:spid="_x0000_s1026" style="width:77724;height:9627;left:38;position:absolute" coordorigin="38,0" coordsize="77723,9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width:77724;height:6351;left:38;mso-wrap-style:square;position:absolute;top:3276;visibility:visible" o:preferrelative="f">
                    <v:imagedata r:id="rId5" o:title=""/>
                  </v:shape>
                  <v:shapetype id="_x0000_t202" coordsize="21600,21600" o:spt="202" path="m,l,21600r21600,l21600,xe">
                    <v:stroke joinstyle="miter"/>
                    <v:path gradientshapeok="t" o:connecttype="rect"/>
                  </v:shapetype>
                  <v:shape id="Text Box 2" o:spid="_x0000_s1028" type="#_x0000_t202" style="width:24130;height:3295;left:50215;mso-wrap-style:square;position:absolute;visibility:visible;v-text-anchor:top" filled="f" stroked="f">
                    <v:textbox>
                      <w:txbxContent>
                        <w:p w:rsidR="00A95ADA" w:rsidRPr="00B27C10" w:rsidP="00036D4E" w14:paraId="554F19D8" w14:textId="77777777">
                          <w:pPr>
                            <w:pStyle w:val="SectionedHeader"/>
                          </w:pPr>
                          <w:r>
                            <w:t>Sectioned Information</w:t>
                          </w:r>
                        </w:p>
                      </w:txbxContent>
                    </v:textbox>
                  </v:shape>
                </v:group>
                <v:shape id="Text Box 2" o:spid="_x0000_s1029" type="#_x0000_t202" style="width:24130;height:26085;left:50222;mso-wrap-style:square;position:absolute;top:3602;visibility:visible;v-text-anchor:top" filled="f" stroked="f">
                  <v:textbox>
                    <w:txbxContent>
                      <w:p w:rsidR="00677643" w:rsidRPr="00677643" w:rsidP="00677643" w14:paraId="37742C3C" w14:textId="77777777">
                        <w:pPr>
                          <w:pStyle w:val="Checkbox"/>
                          <w:jc w:val="left"/>
                        </w:pPr>
                        <w:r w:rsidRPr="00677643">
                          <w:t>The final rule increases the standard salary level for the EAP exemptions to $684 per week ($35,568 per year).</w:t>
                        </w:r>
                      </w:p>
                      <w:p w:rsidR="00677643" w:rsidRPr="00677643" w:rsidP="00677643" w14:paraId="7ED1D415" w14:textId="77777777">
                        <w:pPr>
                          <w:pStyle w:val="Checkbox"/>
                          <w:jc w:val="left"/>
                        </w:pPr>
                        <w:r w:rsidRPr="00677643">
                          <w:t>The final rule increases the salary level</w:t>
                        </w:r>
                        <w:r>
                          <w:t xml:space="preserve"> for highly compensated employees </w:t>
                        </w:r>
                        <w:r w:rsidRPr="00677643">
                          <w:t>to $107,432 per year.</w:t>
                        </w:r>
                      </w:p>
                      <w:p w:rsidR="0024208C" w:rsidRPr="00526C74" w:rsidP="00677643" w14:paraId="52C2251C" w14:textId="059C3F3E">
                        <w:pPr>
                          <w:pStyle w:val="Checkbox"/>
                          <w:jc w:val="left"/>
                        </w:pPr>
                        <w:r w:rsidRPr="00677643">
                          <w:t xml:space="preserve">The final rule </w:t>
                        </w:r>
                        <w:r>
                          <w:t xml:space="preserve">allows employers to use </w:t>
                        </w:r>
                        <w:r w:rsidRPr="00677643">
                          <w:t>nondiscretionary bonuses to satisfy up to 10</w:t>
                        </w:r>
                        <w:r w:rsidR="004C3795">
                          <w:t>%</w:t>
                        </w:r>
                        <w:r w:rsidRPr="00677643">
                          <w:t xml:space="preserve"> of an employee’s salary level.</w:t>
                        </w:r>
                      </w:p>
                    </w:txbxContent>
                  </v:textbox>
                </v:shape>
              </v:group>
            </w:pict>
          </mc:Fallback>
        </mc:AlternateContent>
      </w:r>
      <w:r w:rsidRPr="00DD4A15" w:rsidR="00DD4A15">
        <w:t>The Catch-Up Payment Provision for Overtime Exempt Employees</w:t>
      </w:r>
      <w:bookmarkEnd w:id="0"/>
    </w:p>
    <w:p w:rsidR="00DD4A15" w:rsidP="00DD4A15" w14:paraId="5D89395F" w14:textId="77777777">
      <w:pPr>
        <w:pStyle w:val="BodyText"/>
      </w:pPr>
      <w:r>
        <w:t xml:space="preserve">The U.S. Department of Labor’s </w:t>
      </w:r>
      <w:r w:rsidR="00246D4F">
        <w:t xml:space="preserve">(DOL) </w:t>
      </w:r>
      <w:r>
        <w:fldChar w:fldCharType="begin"/>
      </w:r>
      <w:r>
        <w:instrText xml:space="preserve"> HYPERLINK "https://www.dol.gov/whd/overtime2019/overtime_FR.pdf" </w:instrText>
      </w:r>
      <w:r>
        <w:fldChar w:fldCharType="separate"/>
      </w:r>
      <w:r w:rsidRPr="00DD4A15">
        <w:rPr>
          <w:rStyle w:val="Hyperlink"/>
        </w:rPr>
        <w:t>final rule</w:t>
      </w:r>
      <w:r>
        <w:fldChar w:fldCharType="end"/>
      </w:r>
      <w:r w:rsidRPr="00DD4A15">
        <w:t xml:space="preserve"> </w:t>
      </w:r>
      <w:r>
        <w:t xml:space="preserve">on </w:t>
      </w:r>
      <w:r w:rsidRPr="00DD4A15">
        <w:t>defining and delimiting the exemptions for executive, administrative, professional, outside sales and computer employees</w:t>
      </w:r>
      <w:r>
        <w:t xml:space="preserve"> (</w:t>
      </w:r>
      <w:r w:rsidR="00677643">
        <w:t>EAP employees</w:t>
      </w:r>
      <w:r>
        <w:t xml:space="preserve">) became effective Jan. 1, 2020. Among other things, the </w:t>
      </w:r>
      <w:r w:rsidR="00677643">
        <w:t>final rule</w:t>
      </w:r>
      <w:r>
        <w:t xml:space="preserve"> updated the standard salary level employees must satisfy to qualify for an overtime exemption. </w:t>
      </w:r>
    </w:p>
    <w:p w:rsidR="00CA1663" w:rsidP="00677643" w14:paraId="746ACAE6" w14:textId="084C0C48">
      <w:pPr>
        <w:pStyle w:val="BodyText"/>
      </w:pPr>
      <w:r>
        <w:t xml:space="preserve">The </w:t>
      </w:r>
      <w:r w:rsidR="00677643">
        <w:t>final rule</w:t>
      </w:r>
      <w:r>
        <w:t xml:space="preserve"> also allows employers to use </w:t>
      </w:r>
      <w:r w:rsidRPr="00373706">
        <w:rPr>
          <w:b/>
        </w:rPr>
        <w:t>nondiscretionary</w:t>
      </w:r>
      <w:r w:rsidRPr="00DD4A15">
        <w:t xml:space="preserve"> </w:t>
      </w:r>
      <w:r w:rsidRPr="00373706">
        <w:rPr>
          <w:b/>
        </w:rPr>
        <w:t>bonuses</w:t>
      </w:r>
      <w:r w:rsidRPr="00DD4A15">
        <w:t xml:space="preserve"> and incentive payments (including commissions) to satisfy </w:t>
      </w:r>
      <w:r w:rsidRPr="00373706">
        <w:rPr>
          <w:b/>
        </w:rPr>
        <w:t>up to 10</w:t>
      </w:r>
      <w:r w:rsidR="004C3795">
        <w:rPr>
          <w:b/>
        </w:rPr>
        <w:t>%</w:t>
      </w:r>
      <w:r w:rsidRPr="00DD4A15">
        <w:t xml:space="preserve"> of the standard salary level</w:t>
      </w:r>
      <w:r>
        <w:t xml:space="preserve"> if these payments are made at least </w:t>
      </w:r>
      <w:r w:rsidRPr="00DD4A15">
        <w:t>on an annual basis</w:t>
      </w:r>
      <w:r>
        <w:t xml:space="preserve">. </w:t>
      </w:r>
    </w:p>
    <w:p w:rsidR="00677643" w:rsidP="00677643" w14:paraId="3FF6CE25" w14:textId="77777777">
      <w:pPr>
        <w:pStyle w:val="BodyText"/>
      </w:pPr>
      <w:r>
        <w:t xml:space="preserve">To enable compliance with the nondiscretionary bonus option, the final rule allows employers to make a </w:t>
      </w:r>
      <w:r w:rsidRPr="00677643">
        <w:t>“</w:t>
      </w:r>
      <w:r w:rsidRPr="00373706">
        <w:rPr>
          <w:b/>
        </w:rPr>
        <w:t>catch-up</w:t>
      </w:r>
      <w:r w:rsidRPr="00677643">
        <w:t>” payment at the end of each 52-week period</w:t>
      </w:r>
      <w:r>
        <w:t xml:space="preserve">. This Compliance Overview explains how this provision can be used. </w:t>
      </w:r>
    </w:p>
    <w:p w:rsidR="00CA1663" w:rsidP="00CA1663" w14:paraId="7A4F2D31" w14:textId="77777777">
      <w:pPr>
        <w:pStyle w:val="Bullet"/>
        <w:numPr>
          <w:ilvl w:val="0"/>
          <w:numId w:val="0"/>
        </w:numPr>
        <w:ind w:left="720" w:hanging="360"/>
      </w:pPr>
    </w:p>
    <w:p w:rsidR="00CA1663" w:rsidP="00CA1663" w14:paraId="4A85A324" w14:textId="77777777">
      <w:pPr>
        <w:pStyle w:val="Bullet"/>
        <w:numPr>
          <w:ilvl w:val="0"/>
          <w:numId w:val="0"/>
        </w:numPr>
        <w:ind w:left="720" w:hanging="360"/>
      </w:pPr>
      <w:r>
        <w:rPr>
          <w:noProof/>
        </w:rPr>
        <mc:AlternateContent>
          <mc:Choice Requires="wps">
            <w:drawing>
              <wp:anchor distT="0" distB="0" distL="114300" distR="114300" simplePos="0" relativeHeight="251660288" behindDoc="0" locked="0" layoutInCell="1" allowOverlap="1">
                <wp:simplePos x="0" y="0"/>
                <wp:positionH relativeFrom="margin">
                  <wp:posOffset>-100584</wp:posOffset>
                </wp:positionH>
                <wp:positionV relativeFrom="margin">
                  <wp:posOffset>5989066</wp:posOffset>
                </wp:positionV>
                <wp:extent cx="4344670" cy="594995"/>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4344670" cy="594995"/>
                        </a:xfrm>
                        <a:prstGeom prst="rect">
                          <a:avLst/>
                        </a:prstGeom>
                        <a:noFill/>
                        <a:ln w="6350">
                          <a:noFill/>
                        </a:ln>
                        <a:effectLst/>
                      </wps:spPr>
                      <wps:txbx>
                        <w:txbxContent>
                          <w:p w:rsidR="00E6115F" w:rsidRPr="002D7201" w:rsidP="00E6115F" w14:textId="77777777">
                            <w:pPr>
                              <w:pStyle w:val="Header"/>
                              <w:rPr>
                                <w:color w:val="6F61B0"/>
                                <w:sz w:val="20"/>
                                <w:szCs w:val="20"/>
                              </w:rPr>
                            </w:pPr>
                            <w:r w:rsidRPr="000847AD">
                              <w:rPr>
                                <w:color w:val="595959" w:themeColor="text1" w:themeTint="A6"/>
                                <w:sz w:val="20"/>
                                <w:szCs w:val="20"/>
                              </w:rPr>
                              <w:t xml:space="preserve">Provided to you by </w:t>
                            </w:r>
                            <w:r w:rsidRPr="002D7201">
                              <w:rPr>
                                <w:b/>
                                <w:color w:val="6F61B0"/>
                                <w:sz w:val="20"/>
                                <w:szCs w:val="20"/>
                              </w:rPr>
                              <w:t>TIG Advisors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4" o:spid="_x0000_s1030" type="#_x0000_t202" style="width:342.1pt;height:46.85pt;margin-top:471.58pt;margin-left:-7.92pt;mso-height-percent:0;mso-height-relative:margin;mso-position-horizontal-relative:margin;mso-position-vertical-relative:margin;mso-width-percent:0;mso-width-relative:margin;mso-wrap-distance-bottom:0;mso-wrap-distance-left:9pt;mso-wrap-distance-right:9pt;mso-wrap-distance-top:0;position:absolute;v-text-anchor:top;z-index:251659264" filled="f" fillcolor="this" stroked="f" strokeweight="0.5pt">
                <v:textbox>
                  <w:txbxContent>
                    <w:p w:rsidR="00E6115F" w:rsidRPr="002D7201" w:rsidP="00E6115F" w14:paraId="64C09700" w14:textId="77777777">
                      <w:pPr>
                        <w:pStyle w:val="Header"/>
                        <w:rPr>
                          <w:color w:val="6F61B0"/>
                          <w:sz w:val="20"/>
                          <w:szCs w:val="20"/>
                        </w:rPr>
                      </w:pPr>
                      <w:r w:rsidRPr="000847AD">
                        <w:rPr>
                          <w:color w:val="595959" w:themeColor="text1" w:themeTint="A6"/>
                          <w:sz w:val="20"/>
                          <w:szCs w:val="20"/>
                        </w:rPr>
                        <w:t xml:space="preserve">Provided to you by </w:t>
                      </w:r>
                      <w:r w:rsidRPr="002D7201">
                        <w:rPr>
                          <w:b/>
                          <w:color w:val="6F61B0"/>
                          <w:sz w:val="20"/>
                          <w:szCs w:val="20"/>
                        </w:rPr>
                        <w:t>TIG Advisors</w:t>
                      </w:r>
                    </w:p>
                  </w:txbxContent>
                </v:textbox>
                <w10:wrap anchorx="margin" anchory="margin"/>
              </v:shape>
            </w:pict>
          </mc:Fallback>
        </mc:AlternateContent>
      </w:r>
      <w:r w:rsidR="00CA1663">
        <w:rPr>
          <w:noProof/>
        </w:rPr>
        <mc:AlternateContent>
          <mc:Choice Requires="wps">
            <w:drawing>
              <wp:anchor distT="0" distB="0" distL="114300" distR="114300" simplePos="0" relativeHeight="251663360" behindDoc="0" locked="0" layoutInCell="1" allowOverlap="1">
                <wp:simplePos x="0" y="0"/>
                <wp:positionH relativeFrom="margin">
                  <wp:posOffset>-9144</wp:posOffset>
                </wp:positionH>
                <wp:positionV relativeFrom="page">
                  <wp:posOffset>6016752</wp:posOffset>
                </wp:positionV>
                <wp:extent cx="4356735" cy="2151380"/>
                <wp:effectExtent l="0" t="0" r="5715" b="1270"/>
                <wp:wrapTopAndBottom/>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56735" cy="2151380"/>
                        </a:xfrm>
                        <a:prstGeom prst="rect">
                          <a:avLst/>
                        </a:prstGeom>
                        <a:solidFill>
                          <a:srgbClr val="6F61B0">
                            <a:alpha val="10000"/>
                          </a:srgbClr>
                        </a:solidFill>
                        <a:ln w="38100">
                          <a:noFill/>
                          <a:miter lim="800000"/>
                          <a:headEnd/>
                          <a:tailEnd/>
                        </a:ln>
                      </wps:spPr>
                      <wps:txbx>
                        <w:txbxContent>
                          <w:p w:rsidR="008C01A9" w:rsidRPr="00036D4E" w:rsidP="00A95ADA" w14:textId="77777777">
                            <w:pPr>
                              <w:pStyle w:val="LR-Heading"/>
                            </w:pPr>
                            <w:r w:rsidRPr="00036D4E">
                              <w:t>Links and Resources</w:t>
                            </w:r>
                          </w:p>
                          <w:p w:rsidR="00677643" w:rsidRPr="00677643" w:rsidP="00677643" w14:textId="77777777">
                            <w:pPr>
                              <w:pStyle w:val="LR-BulletList"/>
                            </w:pPr>
                            <w:r w:rsidRPr="00677643">
                              <w:t xml:space="preserve">DOL Overtime Pay </w:t>
                            </w:r>
                            <w:r>
                              <w:fldChar w:fldCharType="begin"/>
                            </w:r>
                            <w:r>
                              <w:instrText xml:space="preserve"> HYPERLINK "https://www.dol.gov/agencies/whd/overtime" </w:instrText>
                            </w:r>
                            <w:r>
                              <w:fldChar w:fldCharType="separate"/>
                            </w:r>
                            <w:r w:rsidRPr="00677643">
                              <w:rPr>
                                <w:rStyle w:val="Hyperlink"/>
                              </w:rPr>
                              <w:t>website</w:t>
                            </w:r>
                            <w:r>
                              <w:fldChar w:fldCharType="end"/>
                            </w:r>
                          </w:p>
                          <w:p w:rsidR="00677643" w:rsidRPr="00677643" w:rsidP="00677643" w14:textId="624EE51A">
                            <w:pPr>
                              <w:pStyle w:val="LR-BulletList"/>
                            </w:pPr>
                            <w:r>
                              <w:t xml:space="preserve">DOL Wage and Hour Division </w:t>
                            </w:r>
                            <w:r>
                              <w:fldChar w:fldCharType="begin"/>
                            </w:r>
                            <w:r>
                              <w:instrText xml:space="preserve"> HYPERLINK "https://www.dol.gov/agencies/whd/overtime/general-guidance" </w:instrText>
                            </w:r>
                            <w:r>
                              <w:fldChar w:fldCharType="separate"/>
                            </w:r>
                            <w:r w:rsidRPr="00677643">
                              <w:rPr>
                                <w:rStyle w:val="Hyperlink"/>
                              </w:rPr>
                              <w:t>General Guidance</w:t>
                            </w:r>
                            <w:r>
                              <w:fldChar w:fldCharType="end"/>
                            </w:r>
                            <w:r w:rsidRPr="008736AC">
                              <w:rPr>
                                <w:rStyle w:val="Hyperlink"/>
                                <w:u w:val="none"/>
                              </w:rPr>
                              <w:t xml:space="preserve"> </w:t>
                            </w:r>
                            <w:r w:rsidRPr="008736AC">
                              <w:t>on overtime pay</w:t>
                            </w:r>
                            <w:r w:rsidR="008736AC">
                              <w:rPr>
                                <w:rStyle w:val="Hyperlink"/>
                                <w:u w:val="none"/>
                              </w:rPr>
                              <w:t xml:space="preserve"> </w:t>
                            </w:r>
                          </w:p>
                          <w:p w:rsidR="00EE5A35" w:rsidRPr="008736AC" w:rsidP="00BB2F41" w14:textId="39B3389D">
                            <w:pPr>
                              <w:pStyle w:val="LR-BulletList"/>
                            </w:pPr>
                            <w:r>
                              <w:fldChar w:fldCharType="begin"/>
                            </w:r>
                            <w:r>
                              <w:instrText xml:space="preserve"> HYPERLINK "https://www.dol.gov/agencies/whd/overtime/whdfs17u" </w:instrText>
                            </w:r>
                            <w:r>
                              <w:fldChar w:fldCharType="separate"/>
                            </w:r>
                            <w:r w:rsidRPr="008736AC">
                              <w:rPr>
                                <w:rStyle w:val="Hyperlink"/>
                                <w:bCs/>
                              </w:rPr>
                              <w:t>Fact Sheet 17U</w:t>
                            </w:r>
                            <w:r>
                              <w:fldChar w:fldCharType="end"/>
                            </w:r>
                            <w:r w:rsidRPr="008736AC">
                              <w:rPr>
                                <w:bCs/>
                              </w:rPr>
                              <w:t>: Nondiscretionary Bonuses and Incentive Payments (Including Commissions) and Part 541 Exempt Employees</w:t>
                            </w:r>
                            <w:r w:rsidRPr="008736AC">
                              <w:rPr>
                                <w:bCs/>
                              </w:rPr>
                              <w:t xml:space="preserve"> </w:t>
                            </w:r>
                          </w:p>
                          <w:p w:rsidR="008C01A9" w:rsidRPr="008157C2" w:rsidP="00210D70" w14:textId="367A6688">
                            <w:pPr>
                              <w:pStyle w:val="LR-BulletList"/>
                            </w:pPr>
                            <w:r>
                              <w:t xml:space="preserve">DOL Wage and Hour Division </w:t>
                            </w:r>
                            <w:r>
                              <w:fldChar w:fldCharType="begin"/>
                            </w:r>
                            <w:r>
                              <w:instrText xml:space="preserve"> HYPERLINK "https://www.dol.gov/agencies/whd/overtime/tools" </w:instrText>
                            </w:r>
                            <w:r>
                              <w:fldChar w:fldCharType="separate"/>
                            </w:r>
                            <w:r w:rsidRPr="00677643" w:rsidR="00677643">
                              <w:rPr>
                                <w:rStyle w:val="Hyperlink"/>
                              </w:rPr>
                              <w:t>E-tools</w:t>
                            </w:r>
                            <w:r>
                              <w:fldChar w:fldCharType="end"/>
                            </w:r>
                            <w:r w:rsidRPr="008736AC">
                              <w:rPr>
                                <w:rStyle w:val="Hyperlink"/>
                                <w:u w:val="none"/>
                              </w:rPr>
                              <w:t xml:space="preserve"> </w:t>
                            </w:r>
                            <w:r w:rsidRPr="008736AC">
                              <w:t>for overtime pay</w:t>
                            </w:r>
                          </w:p>
                        </w:txbxContent>
                      </wps:txbx>
                      <wps:bodyPr rot="0" vert="horz" wrap="square" lIns="91440" tIns="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1" o:spid="_x0000_s1031" type="#_x0000_t202" style="width:343.05pt;height:169.4pt;margin-top:473.75pt;margin-left:-0.7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top;z-index:251664384" fillcolor="#6f61b0" stroked="f" strokeweight="3pt">
                <v:fill opacity="6682f"/>
                <v:textbox inset=",0">
                  <w:txbxContent>
                    <w:p w:rsidR="008C01A9" w:rsidRPr="00036D4E" w:rsidP="00A95ADA" w14:paraId="4B3DE816" w14:textId="77777777">
                      <w:pPr>
                        <w:pStyle w:val="LR-Heading"/>
                      </w:pPr>
                      <w:r w:rsidRPr="00036D4E">
                        <w:t>Links and Resources</w:t>
                      </w:r>
                    </w:p>
                    <w:p w:rsidR="00677643" w:rsidRPr="00677643" w:rsidP="00677643" w14:paraId="20FD77E0" w14:textId="77777777">
                      <w:pPr>
                        <w:pStyle w:val="LR-BulletList"/>
                      </w:pPr>
                      <w:r w:rsidRPr="00677643">
                        <w:t xml:space="preserve">DOL Overtime Pay </w:t>
                      </w:r>
                      <w:r>
                        <w:fldChar w:fldCharType="begin"/>
                      </w:r>
                      <w:r>
                        <w:instrText xml:space="preserve"> HYPERLINK "https://www.dol.gov/agencies/whd/overtime" </w:instrText>
                      </w:r>
                      <w:r>
                        <w:fldChar w:fldCharType="separate"/>
                      </w:r>
                      <w:r w:rsidRPr="00677643">
                        <w:rPr>
                          <w:rStyle w:val="Hyperlink"/>
                        </w:rPr>
                        <w:t>website</w:t>
                      </w:r>
                      <w:r>
                        <w:fldChar w:fldCharType="end"/>
                      </w:r>
                    </w:p>
                    <w:p w:rsidR="00677643" w:rsidRPr="00677643" w:rsidP="00677643" w14:paraId="36EC84B9" w14:textId="624EE51A">
                      <w:pPr>
                        <w:pStyle w:val="LR-BulletList"/>
                      </w:pPr>
                      <w:r>
                        <w:t xml:space="preserve">DOL Wage and Hour Division </w:t>
                      </w:r>
                      <w:r>
                        <w:fldChar w:fldCharType="begin"/>
                      </w:r>
                      <w:r>
                        <w:instrText xml:space="preserve"> HYPERLINK "https://www.dol.gov/agencies/whd/overtime/general-guidance" </w:instrText>
                      </w:r>
                      <w:r>
                        <w:fldChar w:fldCharType="separate"/>
                      </w:r>
                      <w:r w:rsidRPr="00677643">
                        <w:rPr>
                          <w:rStyle w:val="Hyperlink"/>
                        </w:rPr>
                        <w:t>General Guidance</w:t>
                      </w:r>
                      <w:r>
                        <w:fldChar w:fldCharType="end"/>
                      </w:r>
                      <w:r w:rsidRPr="008736AC">
                        <w:rPr>
                          <w:rStyle w:val="Hyperlink"/>
                          <w:u w:val="none"/>
                        </w:rPr>
                        <w:t xml:space="preserve"> </w:t>
                      </w:r>
                      <w:r w:rsidRPr="008736AC">
                        <w:t>on overtime pay</w:t>
                      </w:r>
                      <w:r w:rsidR="008736AC">
                        <w:rPr>
                          <w:rStyle w:val="Hyperlink"/>
                          <w:u w:val="none"/>
                        </w:rPr>
                        <w:t xml:space="preserve"> </w:t>
                      </w:r>
                    </w:p>
                    <w:p w:rsidR="00EE5A35" w:rsidRPr="008736AC" w:rsidP="00BB2F41" w14:paraId="2AAC7776" w14:textId="39B3389D">
                      <w:pPr>
                        <w:pStyle w:val="LR-BulletList"/>
                      </w:pPr>
                      <w:r>
                        <w:fldChar w:fldCharType="begin"/>
                      </w:r>
                      <w:r>
                        <w:instrText xml:space="preserve"> HYPERLINK "https://www.dol.gov/agencies/whd/overtime/whdfs17u" </w:instrText>
                      </w:r>
                      <w:r>
                        <w:fldChar w:fldCharType="separate"/>
                      </w:r>
                      <w:r w:rsidRPr="008736AC">
                        <w:rPr>
                          <w:rStyle w:val="Hyperlink"/>
                          <w:bCs/>
                        </w:rPr>
                        <w:t>Fact Sheet 17U</w:t>
                      </w:r>
                      <w:r>
                        <w:fldChar w:fldCharType="end"/>
                      </w:r>
                      <w:r w:rsidRPr="008736AC">
                        <w:rPr>
                          <w:bCs/>
                        </w:rPr>
                        <w:t>: Nondiscretionary Bonuses and Incentive Payments (Including Commissions) and Part 541 Exempt Employees</w:t>
                      </w:r>
                      <w:r w:rsidRPr="008736AC">
                        <w:rPr>
                          <w:bCs/>
                        </w:rPr>
                        <w:t xml:space="preserve"> </w:t>
                      </w:r>
                    </w:p>
                    <w:p w:rsidR="008C01A9" w:rsidRPr="008157C2" w:rsidP="00210D70" w14:paraId="356FC3EF" w14:textId="367A6688">
                      <w:pPr>
                        <w:pStyle w:val="LR-BulletList"/>
                      </w:pPr>
                      <w:r>
                        <w:t xml:space="preserve">DOL Wage and Hour Division </w:t>
                      </w:r>
                      <w:r>
                        <w:fldChar w:fldCharType="begin"/>
                      </w:r>
                      <w:r>
                        <w:instrText xml:space="preserve"> HYPERLINK "https://www.dol.gov/agencies/whd/overtime/tools" </w:instrText>
                      </w:r>
                      <w:r>
                        <w:fldChar w:fldCharType="separate"/>
                      </w:r>
                      <w:r w:rsidRPr="00677643" w:rsidR="00677643">
                        <w:rPr>
                          <w:rStyle w:val="Hyperlink"/>
                        </w:rPr>
                        <w:t>E-tools</w:t>
                      </w:r>
                      <w:r>
                        <w:fldChar w:fldCharType="end"/>
                      </w:r>
                      <w:r w:rsidRPr="008736AC">
                        <w:rPr>
                          <w:rStyle w:val="Hyperlink"/>
                          <w:u w:val="none"/>
                        </w:rPr>
                        <w:t xml:space="preserve"> </w:t>
                      </w:r>
                      <w:r w:rsidRPr="008736AC">
                        <w:t>for overtime pay</w:t>
                      </w:r>
                    </w:p>
                  </w:txbxContent>
                </v:textbox>
                <w10:wrap type="topAndBottom"/>
              </v:shape>
            </w:pict>
          </mc:Fallback>
        </mc:AlternateContent>
      </w:r>
      <w:r w:rsidR="00CA1663">
        <w:rPr>
          <w:noProof/>
        </w:rPr>
        <mc:AlternateContent>
          <mc:Choice Requires="wpg">
            <w:drawing>
              <wp:anchor distT="0" distB="0" distL="114300" distR="114300" simplePos="0" relativeHeight="251661312" behindDoc="0" locked="0" layoutInCell="1" allowOverlap="1">
                <wp:simplePos x="0" y="0"/>
                <wp:positionH relativeFrom="page">
                  <wp:posOffset>27432</wp:posOffset>
                </wp:positionH>
                <wp:positionV relativeFrom="page">
                  <wp:posOffset>5559552</wp:posOffset>
                </wp:positionV>
                <wp:extent cx="7740650" cy="2827020"/>
                <wp:effectExtent l="0" t="0" r="0"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7740650" cy="2827020"/>
                          <a:chOff x="31898" y="0"/>
                          <a:chExt cx="7740189" cy="2827251"/>
                        </a:xfrm>
                      </wpg:grpSpPr>
                      <wpg:grpSp>
                        <wpg:cNvPr id="8" name="Group 8"/>
                        <wpg:cNvGrpSpPr/>
                        <wpg:grpSpPr>
                          <a:xfrm>
                            <a:off x="31898" y="0"/>
                            <a:ext cx="7740189" cy="960135"/>
                            <a:chOff x="31898" y="0"/>
                            <a:chExt cx="7740189" cy="960135"/>
                          </a:xfrm>
                        </wpg:grpSpPr>
                        <pic:pic xmlns:pic="http://schemas.openxmlformats.org/drawingml/2006/picture">
                          <pic:nvPicPr>
                            <pic:cNvPr id="11" name="Picture 11"/>
                            <pic:cNvPicPr>
                              <a:picLocks noChangeAspect="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31898" y="327633"/>
                              <a:ext cx="7740189" cy="632502"/>
                            </a:xfrm>
                            <a:prstGeom prst="rect">
                              <a:avLst/>
                            </a:prstGeom>
                          </pic:spPr>
                        </pic:pic>
                        <wps:wsp xmlns:wps="http://schemas.microsoft.com/office/word/2010/wordprocessingShape">
                          <wps:cNvPr id="12" name="Text Box 2"/>
                          <wps:cNvSpPr txBox="1">
                            <a:spLocks noChangeArrowheads="1"/>
                          </wps:cNvSpPr>
                          <wps:spPr bwMode="auto">
                            <a:xfrm>
                              <a:off x="5021580" y="0"/>
                              <a:ext cx="2413000" cy="329565"/>
                            </a:xfrm>
                            <a:prstGeom prst="rect">
                              <a:avLst/>
                            </a:prstGeom>
                            <a:noFill/>
                            <a:ln w="9525">
                              <a:noFill/>
                              <a:miter lim="800000"/>
                              <a:headEnd/>
                              <a:tailEnd/>
                            </a:ln>
                          </wps:spPr>
                          <wps:txbx>
                            <w:txbxContent>
                              <w:p w:rsidR="00677DD4" w:rsidRPr="00B27C10" w:rsidP="00036D4E" w14:textId="77777777">
                                <w:pPr>
                                  <w:pStyle w:val="SectionedHeader"/>
                                </w:pPr>
                                <w:r>
                                  <w:t>Important Dates</w:t>
                                </w:r>
                              </w:p>
                            </w:txbxContent>
                          </wps:txbx>
                          <wps:bodyPr rot="0" vert="horz" wrap="square" anchor="t" anchorCtr="0"/>
                        </wps:wsp>
                      </wpg:grpSp>
                      <wps:wsp xmlns:wps="http://schemas.microsoft.com/office/word/2010/wordprocessingShape">
                        <wps:cNvPr id="14" name="Text Box 2"/>
                        <wps:cNvSpPr txBox="1">
                          <a:spLocks noChangeArrowheads="1"/>
                        </wps:cNvSpPr>
                        <wps:spPr bwMode="auto">
                          <a:xfrm>
                            <a:off x="5029200" y="353291"/>
                            <a:ext cx="2413000" cy="2473960"/>
                          </a:xfrm>
                          <a:prstGeom prst="rect">
                            <a:avLst/>
                          </a:prstGeom>
                          <a:noFill/>
                          <a:ln w="9525">
                            <a:noFill/>
                            <a:miter lim="800000"/>
                            <a:headEnd/>
                            <a:tailEnd/>
                          </a:ln>
                        </wps:spPr>
                        <wps:txbx>
                          <w:txbxContent>
                            <w:p w:rsidR="00677643" w:rsidRPr="009511D5" w:rsidP="00677643" w14:textId="77777777">
                              <w:pPr>
                                <w:pStyle w:val="SubHeader"/>
                              </w:pPr>
                              <w:r>
                                <w:t>Sept. 24, 2019</w:t>
                              </w:r>
                            </w:p>
                            <w:p w:rsidR="00677643" w:rsidRPr="00677643" w:rsidP="008736AC" w14:textId="77777777">
                              <w:pPr>
                                <w:pStyle w:val="BodyText"/>
                                <w:jc w:val="left"/>
                              </w:pPr>
                              <w:r>
                                <w:rPr>
                                  <w:rStyle w:val="HTextChar"/>
                                  <w:rFonts w:cs="Arial"/>
                                  <w:color w:val="595959"/>
                                  <w:sz w:val="22"/>
                                  <w:szCs w:val="20"/>
                                </w:rPr>
                                <w:t xml:space="preserve">DOL announced </w:t>
                              </w:r>
                              <w:r w:rsidR="004C3795">
                                <w:rPr>
                                  <w:rStyle w:val="HTextChar"/>
                                  <w:rFonts w:cs="Arial"/>
                                  <w:color w:val="595959"/>
                                  <w:sz w:val="22"/>
                                  <w:szCs w:val="20"/>
                                </w:rPr>
                                <w:t xml:space="preserve">the </w:t>
                              </w:r>
                              <w:r>
                                <w:rPr>
                                  <w:rStyle w:val="HTextChar"/>
                                  <w:rFonts w:cs="Arial"/>
                                  <w:color w:val="595959"/>
                                  <w:sz w:val="22"/>
                                  <w:szCs w:val="20"/>
                                </w:rPr>
                                <w:t xml:space="preserve">final rule for </w:t>
                              </w:r>
                              <w:r w:rsidRPr="00677643">
                                <w:rPr>
                                  <w:rFonts w:eastAsia="Calibri"/>
                                </w:rPr>
                                <w:t>defining and delimiting the exemptions for executive, administrative, professional, outside sales and computer employees</w:t>
                              </w:r>
                              <w:r>
                                <w:rPr>
                                  <w:rFonts w:eastAsia="Calibri"/>
                                </w:rPr>
                                <w:t>.</w:t>
                              </w:r>
                            </w:p>
                            <w:p w:rsidR="00677643" w:rsidRPr="007E2B5B" w:rsidP="00677643" w14:textId="77777777">
                              <w:pPr>
                                <w:pStyle w:val="SubHeader"/>
                              </w:pPr>
                              <w:r>
                                <w:t>Jan. 1, 2020</w:t>
                              </w:r>
                            </w:p>
                            <w:p w:rsidR="00677643" w:rsidRPr="00D3402E" w:rsidP="008736AC" w14:textId="77777777">
                              <w:pPr>
                                <w:pStyle w:val="BodyText"/>
                                <w:jc w:val="left"/>
                              </w:pPr>
                              <w:r>
                                <w:t xml:space="preserve">Effective date for </w:t>
                              </w:r>
                              <w:r w:rsidR="004C3795">
                                <w:t xml:space="preserve">the </w:t>
                              </w:r>
                              <w:r>
                                <w:t xml:space="preserve">final rule on </w:t>
                              </w:r>
                              <w:r w:rsidRPr="00677643">
                                <w:t>defining and delimiting the exemptions for executive, administrative, professional, outside sales and computer employees.</w:t>
                              </w:r>
                            </w:p>
                            <w:p w:rsidR="00677643" w:rsidP="00677643" w14:textId="77777777">
                              <w:pPr>
                                <w:pStyle w:val="BodyText"/>
                              </w:pPr>
                            </w:p>
                            <w:p w:rsidR="00677DD4" w:rsidP="00677643" w14:textId="77777777">
                              <w:pPr>
                                <w:pStyle w:val="BodyText"/>
                              </w:pPr>
                            </w:p>
                          </w:txbxContent>
                        </wps:txbx>
                        <wps:bodyPr rot="0" vert="horz" wrap="square" anchor="t" anchorCtr="0"/>
                      </wps:wsp>
                    </wpg:wgp>
                  </a:graphicData>
                </a:graphic>
                <wp14:sizeRelH relativeFrom="margin">
                  <wp14:pctWidth>0</wp14:pctWidth>
                </wp14:sizeRelH>
              </wp:anchor>
            </w:drawing>
          </mc:Choice>
          <mc:Fallback>
            <w:pict>
              <v:group id="Group 10" o:spid="_x0000_s1032" style="width:609.5pt;height:222.6pt;margin-top:437.75pt;margin-left:2.15pt;mso-position-horizontal-relative:page;mso-position-vertical-relative:page;mso-width-relative:margin;position:absolute;z-index:251662336" coordorigin="318,0" coordsize="77401,28272">
                <v:group id="Group 8" o:spid="_x0000_s1033" style="width:77402;height:9601;left:318;position:absolute" coordorigin="318,0" coordsize="77401,9601">
                  <v:shape id="Picture 11" o:spid="_x0000_s1034" type="#_x0000_t75" style="width:77402;height:6325;left:318;mso-wrap-style:square;position:absolute;top:3276;visibility:visible">
                    <v:imagedata r:id="rId5" o:title=""/>
                  </v:shape>
                  <v:shape id="Text Box 2" o:spid="_x0000_s1035" type="#_x0000_t202" style="width:24130;height:3295;left:50215;mso-wrap-style:square;position:absolute;visibility:visible;v-text-anchor:top" filled="f" stroked="f">
                    <v:textbox>
                      <w:txbxContent>
                        <w:p w:rsidR="00677DD4" w:rsidRPr="00B27C10" w:rsidP="00036D4E" w14:paraId="25F014A9" w14:textId="77777777">
                          <w:pPr>
                            <w:pStyle w:val="SectionedHeader"/>
                          </w:pPr>
                          <w:r>
                            <w:t>Important Dates</w:t>
                          </w:r>
                        </w:p>
                      </w:txbxContent>
                    </v:textbox>
                  </v:shape>
                </v:group>
                <v:shape id="Text Box 2" o:spid="_x0000_s1036" type="#_x0000_t202" style="width:24130;height:24740;left:50292;mso-wrap-style:square;position:absolute;top:3532;visibility:visible;v-text-anchor:top" filled="f" stroked="f">
                  <v:textbox>
                    <w:txbxContent>
                      <w:p w:rsidR="00677643" w:rsidRPr="009511D5" w:rsidP="00677643" w14:paraId="15536E94" w14:textId="77777777">
                        <w:pPr>
                          <w:pStyle w:val="SubHeader"/>
                        </w:pPr>
                        <w:r>
                          <w:t>Sept. 24, 2019</w:t>
                        </w:r>
                      </w:p>
                      <w:p w:rsidR="00677643" w:rsidRPr="00677643" w:rsidP="008736AC" w14:paraId="3CC5D84A" w14:textId="77777777">
                        <w:pPr>
                          <w:pStyle w:val="BodyText"/>
                          <w:jc w:val="left"/>
                        </w:pPr>
                        <w:r>
                          <w:rPr>
                            <w:rStyle w:val="HTextChar"/>
                            <w:rFonts w:cs="Arial"/>
                            <w:color w:val="595959"/>
                            <w:sz w:val="22"/>
                            <w:szCs w:val="20"/>
                          </w:rPr>
                          <w:t xml:space="preserve">DOL announced </w:t>
                        </w:r>
                        <w:r w:rsidR="004C3795">
                          <w:rPr>
                            <w:rStyle w:val="HTextChar"/>
                            <w:rFonts w:cs="Arial"/>
                            <w:color w:val="595959"/>
                            <w:sz w:val="22"/>
                            <w:szCs w:val="20"/>
                          </w:rPr>
                          <w:t xml:space="preserve">the </w:t>
                        </w:r>
                        <w:r>
                          <w:rPr>
                            <w:rStyle w:val="HTextChar"/>
                            <w:rFonts w:cs="Arial"/>
                            <w:color w:val="595959"/>
                            <w:sz w:val="22"/>
                            <w:szCs w:val="20"/>
                          </w:rPr>
                          <w:t xml:space="preserve">final rule for </w:t>
                        </w:r>
                        <w:r w:rsidRPr="00677643">
                          <w:rPr>
                            <w:rFonts w:eastAsia="Calibri"/>
                          </w:rPr>
                          <w:t>defining and delimiting the exemptions for executive, administrative, professional, outside sales and computer employees</w:t>
                        </w:r>
                        <w:r>
                          <w:rPr>
                            <w:rFonts w:eastAsia="Calibri"/>
                          </w:rPr>
                          <w:t>.</w:t>
                        </w:r>
                      </w:p>
                      <w:p w:rsidR="00677643" w:rsidRPr="007E2B5B" w:rsidP="00677643" w14:paraId="0D077563" w14:textId="77777777">
                        <w:pPr>
                          <w:pStyle w:val="SubHeader"/>
                        </w:pPr>
                        <w:r>
                          <w:t>Jan. 1, 2020</w:t>
                        </w:r>
                      </w:p>
                      <w:p w:rsidR="00677643" w:rsidRPr="00D3402E" w:rsidP="008736AC" w14:paraId="722F1D05" w14:textId="77777777">
                        <w:pPr>
                          <w:pStyle w:val="BodyText"/>
                          <w:jc w:val="left"/>
                        </w:pPr>
                        <w:r>
                          <w:t xml:space="preserve">Effective date for </w:t>
                        </w:r>
                        <w:r w:rsidR="004C3795">
                          <w:t xml:space="preserve">the </w:t>
                        </w:r>
                        <w:r>
                          <w:t xml:space="preserve">final rule on </w:t>
                        </w:r>
                        <w:r w:rsidRPr="00677643">
                          <w:t>defining and delimiting the exemptions for executive, administrative, professional, outside sales and computer employees.</w:t>
                        </w:r>
                      </w:p>
                      <w:p w:rsidR="00677643" w:rsidP="00677643" w14:paraId="147942A7" w14:textId="77777777">
                        <w:pPr>
                          <w:pStyle w:val="BodyText"/>
                        </w:pPr>
                      </w:p>
                      <w:p w:rsidR="00677DD4" w:rsidP="00677643" w14:paraId="0AFEC1A2" w14:textId="77777777">
                        <w:pPr>
                          <w:pStyle w:val="BodyText"/>
                        </w:pPr>
                      </w:p>
                    </w:txbxContent>
                  </v:textbox>
                </v:shape>
              </v:group>
            </w:pict>
          </mc:Fallback>
        </mc:AlternateContent>
      </w:r>
      <w:r w:rsidR="00CA1663">
        <w:t xml:space="preserve"> </w:t>
      </w:r>
    </w:p>
    <w:p w:rsidR="00CA1663" w:rsidRPr="00CA1663" w:rsidP="00CA1663" w14:paraId="03D07D1D" w14:textId="77777777">
      <w:pPr>
        <w:pStyle w:val="Bullet"/>
        <w:numPr>
          <w:ilvl w:val="0"/>
          <w:numId w:val="0"/>
        </w:numPr>
        <w:sectPr w:rsidSect="008A7E71">
          <w:headerReference w:type="default" r:id="rId6"/>
          <w:footerReference w:type="default" r:id="rId7"/>
          <w:pgSz w:w="12240" w:h="15840"/>
          <w:pgMar w:top="3946" w:right="4680" w:bottom="1440" w:left="720" w:header="720" w:footer="720" w:gutter="0"/>
          <w:cols w:space="720"/>
          <w:docGrid w:linePitch="360"/>
        </w:sectPr>
      </w:pPr>
    </w:p>
    <w:p w:rsidR="00DD4A15" w:rsidP="002E2959" w14:paraId="705C7DA0" w14:textId="64EB0DFC">
      <w:pPr>
        <w:pStyle w:val="SectionedHeader"/>
      </w:pPr>
      <w:r w:rsidRPr="00DD4A15">
        <w:t>Catch-</w:t>
      </w:r>
      <w:r w:rsidR="004C3795">
        <w:t>u</w:t>
      </w:r>
      <w:r w:rsidRPr="00DD4A15">
        <w:t>p Payment</w:t>
      </w:r>
      <w:r w:rsidR="002E2959">
        <w:t xml:space="preserve"> Provision</w:t>
      </w:r>
    </w:p>
    <w:p w:rsidR="00246D4F" w:rsidP="00DD4A15" w14:paraId="274C56E4" w14:textId="79A4F21B">
      <w:pPr>
        <w:pStyle w:val="BodyText"/>
      </w:pPr>
      <w:r>
        <w:t xml:space="preserve">Employers should </w:t>
      </w:r>
      <w:r>
        <w:t xml:space="preserve">review their EAP exempt employee’s compensation annually (every 52 weeks) to make sure all requirements for the exemption have been met. </w:t>
      </w:r>
      <w:r w:rsidRPr="00DD4A15" w:rsidR="00DD4A15">
        <w:t xml:space="preserve">If at the end of the 52-week period the sum of the salary paid plus the nondiscretionary bonuses and incentive payments (including commissions) paid is less than the required salary level, the employer has </w:t>
      </w:r>
      <w:r w:rsidRPr="00246D4F" w:rsidR="00DD4A15">
        <w:rPr>
          <w:b/>
        </w:rPr>
        <w:t>one pay period</w:t>
      </w:r>
      <w:r w:rsidRPr="00DD4A15" w:rsidR="00DD4A15">
        <w:t xml:space="preserve"> to make up the shortfall for the 52-week period. </w:t>
      </w:r>
    </w:p>
    <w:p w:rsidR="00246D4F" w:rsidP="00DD4A15" w14:paraId="36AE34BB" w14:textId="77777777">
      <w:pPr>
        <w:pStyle w:val="BodyText"/>
      </w:pPr>
      <w:r>
        <w:t>If the catch-up payment is not made within the pay period immediately following the 52-week period, the EAP overtime exemption does not apply and the employer will need to determine whether there are any overtime payments owed during the entire previous 52-week period.</w:t>
      </w:r>
    </w:p>
    <w:p w:rsidR="00373706" w:rsidRPr="00DD4A15" w:rsidP="00373706" w14:paraId="5429C3D9" w14:textId="47E8ED18">
      <w:pPr>
        <w:pStyle w:val="SectionedHeader"/>
      </w:pPr>
      <w:r w:rsidRPr="00DD4A15">
        <w:t xml:space="preserve">Discretionary </w:t>
      </w:r>
      <w:r w:rsidR="004C3795">
        <w:t>V</w:t>
      </w:r>
      <w:r w:rsidRPr="00DD4A15">
        <w:t>ersus Nondiscretionary Bonuses</w:t>
      </w:r>
    </w:p>
    <w:p w:rsidR="00373706" w:rsidP="00373706" w14:paraId="614B3478" w14:textId="4DDC9227">
      <w:pPr>
        <w:pStyle w:val="BodyText"/>
      </w:pPr>
      <w:r w:rsidRPr="00DD4A15">
        <w:t xml:space="preserve">As noted above, </w:t>
      </w:r>
      <w:r>
        <w:t xml:space="preserve">the final rule allows employers to </w:t>
      </w:r>
      <w:r w:rsidRPr="00DD4A15">
        <w:t xml:space="preserve">use </w:t>
      </w:r>
      <w:r w:rsidRPr="0091155B">
        <w:rPr>
          <w:b/>
        </w:rPr>
        <w:t>nondiscretionary</w:t>
      </w:r>
      <w:r w:rsidRPr="00DD4A15">
        <w:t xml:space="preserve"> </w:t>
      </w:r>
      <w:r w:rsidRPr="0091155B">
        <w:rPr>
          <w:b/>
        </w:rPr>
        <w:t>bonuses</w:t>
      </w:r>
      <w:r w:rsidRPr="00DD4A15">
        <w:t xml:space="preserve"> to satisfy up to 10</w:t>
      </w:r>
      <w:r w:rsidR="004C3795">
        <w:t>%</w:t>
      </w:r>
      <w:r w:rsidRPr="00DD4A15">
        <w:t xml:space="preserve"> of the standard salary level. </w:t>
      </w:r>
    </w:p>
    <w:p w:rsidR="00373706" w:rsidP="00373706" w14:paraId="1D28DB3A" w14:textId="77777777">
      <w:pPr>
        <w:pStyle w:val="BodyText"/>
      </w:pPr>
      <w:r>
        <w:rPr>
          <w:lang w:val="en"/>
        </w:rPr>
        <w:t>A bonus is discretionary when t</w:t>
      </w:r>
      <w:r w:rsidRPr="00C70493">
        <w:rPr>
          <w:lang w:val="en"/>
        </w:rPr>
        <w:t xml:space="preserve">he employer retains </w:t>
      </w:r>
      <w:r>
        <w:rPr>
          <w:lang w:val="en"/>
        </w:rPr>
        <w:t>the freedom to decide what should be done with that bonus. Freedom to decide may include the timing and amount of the bonus. Similarly, the bonus may be paid for any specific reason or for no reason at all. A discretionary bonus should not create an expectation of payment from the employee and it should be seen as arbitrary and almost whimsical. This means that the bonus cannot be due or tied to any prior promise, contract or agreement, or with employee performance (meeting specified goals or standards).</w:t>
      </w:r>
      <w:r w:rsidRPr="00C675B8">
        <w:t xml:space="preserve"> </w:t>
      </w:r>
      <w:r>
        <w:t xml:space="preserve">To maintain bonuses as discretionary, employers should be careful and avoid any form of advance notice or other cautions that may, in any way, raise the expectation </w:t>
      </w:r>
      <w:r w:rsidR="004C3795">
        <w:t xml:space="preserve">of </w:t>
      </w:r>
      <w:r>
        <w:t xml:space="preserve">payment. </w:t>
      </w:r>
    </w:p>
    <w:p w:rsidR="00373706" w:rsidRPr="00DD4A15" w:rsidP="00373706" w14:paraId="436F0EAC" w14:textId="77777777">
      <w:pPr>
        <w:pStyle w:val="BodyText"/>
      </w:pPr>
      <w:r w:rsidRPr="00DD4A15">
        <w:t>Promised bonuses such as those announced to employees to induce them to work more efficiently or to remain with the firm are considered nondiscretionary. Examples include bonuses based on a predetermined formula</w:t>
      </w:r>
      <w:r>
        <w:t xml:space="preserve"> (for example</w:t>
      </w:r>
      <w:r w:rsidRPr="00DD4A15">
        <w:t xml:space="preserve"> individual or group production bonuses</w:t>
      </w:r>
      <w:r>
        <w:t>)</w:t>
      </w:r>
      <w:r w:rsidRPr="00DD4A15">
        <w:t>, bonuses for quality and accuracy of work, retention bonuses, and commission payments based on a fixed formula.</w:t>
      </w:r>
    </w:p>
    <w:p w:rsidR="00DD4A15" w:rsidP="00246D4F" w14:paraId="1692A4B8" w14:textId="77777777">
      <w:pPr>
        <w:pStyle w:val="SectionedHeader"/>
      </w:pPr>
      <w:r>
        <w:t xml:space="preserve">DOL </w:t>
      </w:r>
      <w:r w:rsidRPr="00DD4A15">
        <w:t>Example</w:t>
      </w:r>
    </w:p>
    <w:p w:rsidR="00246D4F" w:rsidRPr="00DD4A15" w:rsidP="00246D4F" w14:paraId="12C5DE38" w14:textId="77777777">
      <w:pPr>
        <w:pStyle w:val="BodyText"/>
        <w:rPr>
          <w:b/>
        </w:rPr>
      </w:pPr>
      <w:r>
        <w:t xml:space="preserve">The DOL has </w:t>
      </w:r>
      <w:r>
        <w:fldChar w:fldCharType="begin"/>
      </w:r>
      <w:r>
        <w:instrText xml:space="preserve"> HYPERLINK "https://www.dol.gov/agencies/whd/overtime/whdfs17u" </w:instrText>
      </w:r>
      <w:r>
        <w:fldChar w:fldCharType="separate"/>
      </w:r>
      <w:r w:rsidRPr="001D5BDF">
        <w:rPr>
          <w:rStyle w:val="Hyperlink"/>
        </w:rPr>
        <w:t>published</w:t>
      </w:r>
      <w:r>
        <w:fldChar w:fldCharType="end"/>
      </w:r>
      <w:r>
        <w:t xml:space="preserve"> the following example to illustrate how the catch-up provision works. </w:t>
      </w:r>
    </w:p>
    <w:p w:rsidR="00DD4A15" w:rsidRPr="00DD4A15" w:rsidP="00DD4A15" w14:paraId="4BEAC6BC" w14:textId="21DFB33E">
      <w:pPr>
        <w:pStyle w:val="BodyText"/>
      </w:pPr>
      <w:r w:rsidRPr="00DD4A15">
        <w:t>Employee B meets the duties test for the professional exemption and is paid a salary of approximately 90</w:t>
      </w:r>
      <w:r w:rsidR="004C3795">
        <w:t>%</w:t>
      </w:r>
      <w:r w:rsidRPr="00DD4A15">
        <w:t xml:space="preserve"> of the standard salary level ($616) in each workweek for the year. At the end of the year, the employer tallies Employee B’s nondiscretionary bonuses and commissions for the year, which amount to $3,300.</w:t>
      </w:r>
    </w:p>
    <w:p w:rsidR="00DD4A15" w:rsidRPr="00DD4A15" w:rsidP="00246D4F" w14:paraId="08D70393" w14:textId="1DEC1988">
      <w:pPr>
        <w:pStyle w:val="Bullet"/>
      </w:pPr>
      <w:r w:rsidRPr="00DD4A15">
        <w:t>$616 (salary) x 52 weeks = $32,032 paid in salary on a weekly basis.</w:t>
      </w:r>
    </w:p>
    <w:p w:rsidR="00DD4A15" w:rsidRPr="00DD4A15" w:rsidP="00246D4F" w14:paraId="3BB0D9BF" w14:textId="77777777">
      <w:pPr>
        <w:pStyle w:val="Bullet"/>
      </w:pPr>
      <w:r w:rsidRPr="00DD4A15">
        <w:t>$32,032 (salary paid) + $3300 (bonuses earned) = $35,332 (salary plus nondiscretionary bonus paid).</w:t>
      </w:r>
    </w:p>
    <w:p w:rsidR="00DD4A15" w:rsidRPr="00DD4A15" w:rsidP="00DD4A15" w14:paraId="0A9E48D6" w14:textId="77777777">
      <w:pPr>
        <w:pStyle w:val="BodyText"/>
      </w:pPr>
      <w:r w:rsidRPr="00DD4A15">
        <w:t>Employee B must be paid a total of $35,568 per year to meet the salary level requirement ($684 x 52 weeks). Because the total of salary and bonuses paid ($35,332) is less than $35,568, the employer must, within one pay period, make a catch-up payment to Employee B to meet the salary level requirement in order to maintain the exemption. As shown below, the amount of the catch-up payment is $236.</w:t>
      </w:r>
    </w:p>
    <w:p w:rsidR="00DD4A15" w:rsidRPr="00DD4A15" w:rsidP="0091155B" w14:paraId="755CE20D" w14:textId="77777777">
      <w:pPr>
        <w:pStyle w:val="Bullet"/>
      </w:pPr>
      <w:r w:rsidRPr="00DD4A15">
        <w:t>$35,568 (required salary for 52 weeks) – $35,332 (total paid) = $236 (required catch-up payment).</w:t>
      </w:r>
    </w:p>
    <w:p w:rsidR="00C84C66" w:rsidRPr="00DD4A15" w:rsidP="00DD4A15" w14:paraId="0759024A" w14:textId="77777777">
      <w:pPr>
        <w:pStyle w:val="BodyText"/>
      </w:pPr>
      <w:r w:rsidRPr="00DD4A15">
        <w:t>If the employer does not make the catch-up payment, the employee is entitled to overtime pay for any overtime hours worked during the previous 52-week time period.</w:t>
      </w:r>
    </w:p>
    <w:sectPr w:rsidSect="00C84C66">
      <w:headerReference w:type="default" r:id="rId8"/>
      <w:footerReference w:type="default" r:id="rId9"/>
      <w:pgSz w:w="12240" w:h="15840"/>
      <w:pgMar w:top="1800" w:right="720" w:bottom="18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36D" w14:paraId="3D498E86" w14:textId="77777777">
    <w:pPr>
      <w:pStyle w:val="Footer"/>
    </w:pPr>
    <w:r>
      <w:rPr>
        <w:noProof/>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margin">
                <wp:posOffset>5975536</wp:posOffset>
              </wp:positionV>
              <wp:extent cx="6849035" cy="8965"/>
              <wp:effectExtent l="19050" t="19050" r="9525" b="2921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849035" cy="8965"/>
                      </a:xfrm>
                      <a:prstGeom prst="line">
                        <a:avLst/>
                      </a:prstGeom>
                      <a:ln w="44450">
                        <a:solidFill>
                          <a:srgbClr val="6F61B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2049" style="flip:x y;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z-index:251666432" from="0,470.5pt" to="539.3pt,471.2pt" strokecolor="#6f61b0" strokeweight="3.5pt">
              <v:stroke joinstyle="miter" opacity="49087f"/>
              <w10:wrap anchorx="margin" anchory="margin"/>
            </v:line>
          </w:pict>
        </mc:Fallback>
      </mc:AlternateContent>
    </w:r>
    <w:r>
      <w:rPr>
        <w:noProof/>
      </w:rPr>
      <w:drawing>
        <wp:anchor distT="0" distB="0" distL="114300" distR="114300" simplePos="0" relativeHeight="251659264" behindDoc="1" locked="0" layoutInCell="1" allowOverlap="1">
          <wp:simplePos x="0" y="0"/>
          <wp:positionH relativeFrom="page">
            <wp:posOffset>0</wp:posOffset>
          </wp:positionH>
          <wp:positionV relativeFrom="paragraph">
            <wp:posOffset>1492575</wp:posOffset>
          </wp:positionV>
          <wp:extent cx="7772400" cy="63093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gal_fol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63093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999777"/>
      <w:docPartObj>
        <w:docPartGallery w:val="Page Numbers (Bottom of Page)"/>
        <w:docPartUnique/>
      </w:docPartObj>
    </w:sdtPr>
    <w:sdtEndPr>
      <w:rPr>
        <w:noProof/>
      </w:rPr>
    </w:sdtEndPr>
    <w:sdtContent>
      <w:p w:rsidR="00A95ADA" w14:paraId="43B3017F"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6115F" w14:paraId="454D4B9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36D" w14:paraId="6F67DC47" w14:textId="77777777">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ge">
            <wp:posOffset>-20955</wp:posOffset>
          </wp:positionV>
          <wp:extent cx="7772397" cy="3851929"/>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header.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397" cy="385192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7CD" w14:paraId="38692F55" w14:textId="77777777">
    <w:pPr>
      <w:pStyle w:val="Header"/>
    </w:pPr>
    <w:r>
      <w:rPr>
        <w:noProof/>
      </w:rPr>
      <w:drawing>
        <wp:anchor distT="0" distB="0" distL="114300" distR="114300" simplePos="0" relativeHeight="251660288" behindDoc="1" locked="0" layoutInCell="1" allowOverlap="1">
          <wp:simplePos x="0" y="0"/>
          <wp:positionH relativeFrom="page">
            <wp:posOffset>14032</wp:posOffset>
          </wp:positionH>
          <wp:positionV relativeFrom="paragraph">
            <wp:posOffset>-457200</wp:posOffset>
          </wp:positionV>
          <wp:extent cx="7753504" cy="163639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14124" name="legal_header.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53504" cy="1636395"/>
                  </a:xfrm>
                  <a:prstGeom prst="rect">
                    <a:avLst/>
                  </a:prstGeom>
                </pic:spPr>
              </pic:pic>
            </a:graphicData>
          </a:graphic>
          <wp14:sizeRelH relativeFrom="page">
            <wp14:pctWidth>0</wp14:pctWidth>
          </wp14:sizeRelH>
          <wp14:sizeRelV relativeFrom="page">
            <wp14:pctHeight>0</wp14:pctHeight>
          </wp14:sizeRelV>
        </wp:anchor>
      </w:drawing>
    </w:r>
    <w:r w:rsidR="00A95ADA">
      <w:rPr>
        <w:noProof/>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margin">
                <wp:posOffset>7751618</wp:posOffset>
              </wp:positionV>
              <wp:extent cx="6848475" cy="8890"/>
              <wp:effectExtent l="19050" t="19050" r="9525" b="2921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848475" cy="8890"/>
                      </a:xfrm>
                      <a:prstGeom prst="line">
                        <a:avLst/>
                      </a:prstGeom>
                      <a:ln w="44450">
                        <a:solidFill>
                          <a:srgbClr val="6F61B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2050" style="flip:x y;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z-index:251664384" from="0,610.35pt" to="539.25pt,611.05pt" strokecolor="#6f61b0" strokeweight="3.5pt">
              <v:stroke joinstyle="miter" opacity="49087f"/>
              <w10:wrap anchorx="margin" anchory="margin"/>
            </v:line>
          </w:pict>
        </mc:Fallback>
      </mc:AlternateContent>
    </w:r>
    <w:r w:rsidR="00A95ADA">
      <w:rPr>
        <w:noProof/>
      </w:rPr>
      <mc:AlternateContent>
        <mc:Choice Requires="wps">
          <w:drawing>
            <wp:anchor distT="0" distB="0" distL="114300" distR="114300" simplePos="0" relativeHeight="251661312" behindDoc="0" locked="0" layoutInCell="1" allowOverlap="1">
              <wp:simplePos x="0" y="0"/>
              <wp:positionH relativeFrom="margin">
                <wp:posOffset>-55418</wp:posOffset>
              </wp:positionH>
              <wp:positionV relativeFrom="paragraph">
                <wp:posOffset>8679873</wp:posOffset>
              </wp:positionV>
              <wp:extent cx="5984875" cy="556260"/>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4875" cy="556260"/>
                      </a:xfrm>
                      <a:prstGeom prst="rect">
                        <a:avLst/>
                      </a:prstGeom>
                      <a:noFill/>
                      <a:ln w="6350">
                        <a:noFill/>
                      </a:ln>
                      <a:effectLst/>
                    </wps:spPr>
                    <wps:txbx>
                      <w:txbxContent>
                        <w:p w:rsidR="00EC1229" w:rsidRPr="00817EEE" w:rsidP="00EC1229" w14:textId="77777777">
                          <w:pPr>
                            <w:pStyle w:val="Disclaimer"/>
                          </w:pPr>
                          <w:r w:rsidRPr="00947E11">
                            <w:rPr>
                              <w:szCs w:val="16"/>
                            </w:rPr>
                            <w:t xml:space="preserve">This </w:t>
                          </w:r>
                          <w:r>
                            <w:rPr>
                              <w:szCs w:val="16"/>
                            </w:rPr>
                            <w:t>Compliance Overview</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©201</w:t>
                          </w:r>
                          <w:r>
                            <w:t xml:space="preserve">9 </w:t>
                          </w:r>
                          <w:r w:rsidRPr="00817EEE">
                            <w:t>Zywave, Inc.</w:t>
                          </w:r>
                          <w:r>
                            <w:t xml:space="preserve"> </w:t>
                          </w:r>
                          <w:r w:rsidRPr="00817EEE">
                            <w:t>All rights reserved.</w:t>
                          </w:r>
                        </w:p>
                        <w:p w:rsidR="00EC1229" w:rsidRPr="00947E11" w:rsidP="00EC1229" w14:textId="77777777">
                          <w:pPr>
                            <w:pStyle w:val="Disclaimer"/>
                            <w:rPr>
                              <w:szCs w:val="16"/>
                            </w:rPr>
                          </w:pPr>
                        </w:p>
                        <w:p w:rsidR="00E6115F" w:rsidRPr="00947E11" w:rsidP="008F7B15" w14:textId="77777777">
                          <w:pPr>
                            <w:pStyle w:val="Disclaimer"/>
                            <w:rPr>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2051" type="#_x0000_t202" style="width:471.25pt;height:43.8pt;margin-top:683.45pt;margin-left:-4.35pt;mso-height-percent:0;mso-height-relative:margin;mso-position-horizontal-relative:margin;mso-width-percent:0;mso-width-relative:margin;mso-wrap-distance-bottom:0;mso-wrap-distance-left:9pt;mso-wrap-distance-right:9pt;mso-wrap-distance-top:0;mso-wrap-style:square;position:absolute;visibility:visible;v-text-anchor:top;z-index:251662336" filled="f" stroked="f" strokeweight="0.5pt">
              <v:textbox>
                <w:txbxContent>
                  <w:p w:rsidR="00EC1229" w:rsidRPr="00817EEE" w:rsidP="00EC1229" w14:paraId="120B0CD3" w14:textId="77777777">
                    <w:pPr>
                      <w:pStyle w:val="Disclaimer"/>
                    </w:pPr>
                    <w:r w:rsidRPr="00947E11">
                      <w:rPr>
                        <w:szCs w:val="16"/>
                      </w:rPr>
                      <w:t xml:space="preserve">This </w:t>
                    </w:r>
                    <w:r>
                      <w:rPr>
                        <w:szCs w:val="16"/>
                      </w:rPr>
                      <w:t>Compliance Overview</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©201</w:t>
                    </w:r>
                    <w:r>
                      <w:t xml:space="preserve">9 </w:t>
                    </w:r>
                    <w:r w:rsidRPr="00817EEE">
                      <w:t>Zywave, Inc.</w:t>
                    </w:r>
                    <w:r>
                      <w:t xml:space="preserve"> </w:t>
                    </w:r>
                    <w:r w:rsidRPr="00817EEE">
                      <w:t>All rights reserved.</w:t>
                    </w:r>
                  </w:p>
                  <w:p w:rsidR="00EC1229" w:rsidRPr="00947E11" w:rsidP="00EC1229" w14:paraId="4CF7B253" w14:textId="77777777">
                    <w:pPr>
                      <w:pStyle w:val="Disclaimer"/>
                      <w:rPr>
                        <w:szCs w:val="16"/>
                      </w:rPr>
                    </w:pPr>
                  </w:p>
                  <w:p w:rsidR="00E6115F" w:rsidRPr="00947E11" w:rsidP="008F7B15" w14:paraId="5580F26B" w14:textId="77777777">
                    <w:pPr>
                      <w:pStyle w:val="Disclaimer"/>
                      <w:rPr>
                        <w:szCs w:val="16"/>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E95063"/>
    <w:multiLevelType w:val="hybridMultilevel"/>
    <w:tmpl w:val="4F7E20F2"/>
    <w:lvl w:ilvl="0">
      <w:start w:val="1"/>
      <w:numFmt w:val="bullet"/>
      <w:lvlText w:val=""/>
      <w:lvlJc w:val="left"/>
      <w:pPr>
        <w:ind w:left="547" w:hanging="360"/>
      </w:pPr>
      <w:rPr>
        <w:rFonts w:ascii="Symbol" w:hAnsi="Symbol" w:hint="default"/>
        <w:color w:val="6F61B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270686"/>
    <w:multiLevelType w:val="hybridMultilevel"/>
    <w:tmpl w:val="F25C5F20"/>
    <w:lvl w:ilvl="0">
      <w:start w:val="1"/>
      <w:numFmt w:val="bullet"/>
      <w:pStyle w:val="Checkbox"/>
      <w:lvlText w:val=""/>
      <w:lvlJc w:val="left"/>
      <w:pPr>
        <w:ind w:left="360" w:hanging="360"/>
      </w:pPr>
      <w:rPr>
        <w:rFonts w:ascii="Wingdings" w:hAnsi="Wingdings" w:hint="default"/>
        <w:color w:val="5083C9"/>
        <w:sz w:val="28"/>
      </w:rPr>
    </w:lvl>
    <w:lvl w:ilvl="1">
      <w:start w:val="1"/>
      <w:numFmt w:val="bullet"/>
      <w:lvlText w:val="o"/>
      <w:lvlJc w:val="left"/>
      <w:pPr>
        <w:ind w:left="6974" w:hanging="360"/>
      </w:pPr>
      <w:rPr>
        <w:rFonts w:ascii="Courier New" w:hAnsi="Courier New" w:cs="Courier New" w:hint="default"/>
      </w:rPr>
    </w:lvl>
    <w:lvl w:ilvl="2" w:tentative="1">
      <w:start w:val="1"/>
      <w:numFmt w:val="bullet"/>
      <w:lvlText w:val=""/>
      <w:lvlJc w:val="left"/>
      <w:pPr>
        <w:ind w:left="7694" w:hanging="360"/>
      </w:pPr>
      <w:rPr>
        <w:rFonts w:ascii="Wingdings" w:hAnsi="Wingdings" w:hint="default"/>
      </w:rPr>
    </w:lvl>
    <w:lvl w:ilvl="3" w:tentative="1">
      <w:start w:val="1"/>
      <w:numFmt w:val="bullet"/>
      <w:lvlText w:val=""/>
      <w:lvlJc w:val="left"/>
      <w:pPr>
        <w:ind w:left="8414" w:hanging="360"/>
      </w:pPr>
      <w:rPr>
        <w:rFonts w:ascii="Symbol" w:hAnsi="Symbol" w:hint="default"/>
      </w:rPr>
    </w:lvl>
    <w:lvl w:ilvl="4" w:tentative="1">
      <w:start w:val="1"/>
      <w:numFmt w:val="bullet"/>
      <w:lvlText w:val="o"/>
      <w:lvlJc w:val="left"/>
      <w:pPr>
        <w:ind w:left="9134" w:hanging="360"/>
      </w:pPr>
      <w:rPr>
        <w:rFonts w:ascii="Courier New" w:hAnsi="Courier New" w:cs="Courier New" w:hint="default"/>
      </w:rPr>
    </w:lvl>
    <w:lvl w:ilvl="5" w:tentative="1">
      <w:start w:val="1"/>
      <w:numFmt w:val="bullet"/>
      <w:lvlText w:val=""/>
      <w:lvlJc w:val="left"/>
      <w:pPr>
        <w:ind w:left="9854" w:hanging="360"/>
      </w:pPr>
      <w:rPr>
        <w:rFonts w:ascii="Wingdings" w:hAnsi="Wingdings" w:hint="default"/>
      </w:rPr>
    </w:lvl>
    <w:lvl w:ilvl="6" w:tentative="1">
      <w:start w:val="1"/>
      <w:numFmt w:val="bullet"/>
      <w:lvlText w:val=""/>
      <w:lvlJc w:val="left"/>
      <w:pPr>
        <w:ind w:left="10574" w:hanging="360"/>
      </w:pPr>
      <w:rPr>
        <w:rFonts w:ascii="Symbol" w:hAnsi="Symbol" w:hint="default"/>
      </w:rPr>
    </w:lvl>
    <w:lvl w:ilvl="7" w:tentative="1">
      <w:start w:val="1"/>
      <w:numFmt w:val="bullet"/>
      <w:lvlText w:val="o"/>
      <w:lvlJc w:val="left"/>
      <w:pPr>
        <w:ind w:left="11294" w:hanging="360"/>
      </w:pPr>
      <w:rPr>
        <w:rFonts w:ascii="Courier New" w:hAnsi="Courier New" w:cs="Courier New" w:hint="default"/>
      </w:rPr>
    </w:lvl>
    <w:lvl w:ilvl="8" w:tentative="1">
      <w:start w:val="1"/>
      <w:numFmt w:val="bullet"/>
      <w:lvlText w:val=""/>
      <w:lvlJc w:val="left"/>
      <w:pPr>
        <w:ind w:left="12014" w:hanging="360"/>
      </w:pPr>
      <w:rPr>
        <w:rFonts w:ascii="Wingdings" w:hAnsi="Wingdings" w:hint="default"/>
      </w:rPr>
    </w:lvl>
  </w:abstractNum>
  <w:abstractNum w:abstractNumId="2">
    <w:nsid w:val="43E32AF5"/>
    <w:multiLevelType w:val="multilevel"/>
    <w:tmpl w:val="B13CDD56"/>
    <w:styleLink w:val="BulletedList"/>
    <w:lvl w:ilvl="0">
      <w:start w:val="1"/>
      <w:numFmt w:val="bullet"/>
      <w:lvlText w:val=""/>
      <w:lvlJc w:val="left"/>
      <w:pPr>
        <w:ind w:left="360" w:hanging="360"/>
      </w:pPr>
      <w:rPr>
        <w:rFonts w:ascii="Symbol" w:hAnsi="Symbol" w:hint="default"/>
        <w:color w:val="6F61B0"/>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C8601A1"/>
    <w:multiLevelType w:val="hybridMultilevel"/>
    <w:tmpl w:val="43CE9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DE51692"/>
    <w:multiLevelType w:val="multilevel"/>
    <w:tmpl w:val="B13CDD56"/>
    <w:numStyleLink w:val="Bulleted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5">
    <w:nsid w:val="4E624744"/>
    <w:multiLevelType w:val="multilevel"/>
    <w:tmpl w:val="B13CDD56"/>
    <w:numStyleLink w:val="Bulleted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
    <w:nsid w:val="5965333D"/>
    <w:multiLevelType w:val="hybridMultilevel"/>
    <w:tmpl w:val="1EBC65B2"/>
    <w:lvl w:ilvl="0">
      <w:start w:val="1"/>
      <w:numFmt w:val="bullet"/>
      <w:pStyle w:val="Xbox"/>
      <w:lvlText w:val=""/>
      <w:lvlJc w:val="left"/>
      <w:pPr>
        <w:ind w:left="360" w:hanging="360"/>
      </w:pPr>
      <w:rPr>
        <w:rFonts w:ascii="Wingdings" w:hAnsi="Wingdings" w:hint="default"/>
        <w:color w:val="BD6363"/>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B1031EF"/>
    <w:multiLevelType w:val="multilevel"/>
    <w:tmpl w:val="B13CDD56"/>
    <w:numStyleLink w:val="Bulleted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8">
    <w:nsid w:val="730B4ECD"/>
    <w:multiLevelType w:val="hybridMultilevel"/>
    <w:tmpl w:val="6C406044"/>
    <w:lvl w:ilvl="0">
      <w:start w:val="1"/>
      <w:numFmt w:val="bullet"/>
      <w:pStyle w:val="BulletlistHighlight"/>
      <w:lvlText w:val=""/>
      <w:lvlJc w:val="left"/>
      <w:pPr>
        <w:ind w:left="288" w:hanging="288"/>
      </w:pPr>
      <w:rPr>
        <w:rFonts w:ascii="Symbol" w:hAnsi="Symbol" w:hint="default"/>
      </w:rPr>
    </w:lvl>
    <w:lvl w:ilvl="1">
      <w:start w:val="1"/>
      <w:numFmt w:val="bullet"/>
      <w:lvlText w:val="o"/>
      <w:lvlJc w:val="left"/>
      <w:pPr>
        <w:ind w:left="576" w:hanging="216"/>
      </w:pPr>
      <w:rPr>
        <w:rFonts w:ascii="Courier New" w:hAnsi="Courier New" w:hint="default"/>
      </w:rPr>
    </w:lvl>
    <w:lvl w:ilvl="2">
      <w:start w:val="1"/>
      <w:numFmt w:val="bullet"/>
      <w:lvlText w:val=""/>
      <w:lvlJc w:val="left"/>
      <w:pPr>
        <w:ind w:left="864" w:hanging="216"/>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5EE6EA1"/>
    <w:multiLevelType w:val="hybridMultilevel"/>
    <w:tmpl w:val="C10201E4"/>
    <w:lvl w:ilvl="0">
      <w:start w:val="1"/>
      <w:numFmt w:val="bullet"/>
      <w:pStyle w:val="Bullet"/>
      <w:lvlText w:val=""/>
      <w:lvlJc w:val="left"/>
      <w:pPr>
        <w:ind w:left="720" w:hanging="360"/>
      </w:pPr>
      <w:rPr>
        <w:rFonts w:ascii="Symbol" w:hAnsi="Symbol" w:hint="default"/>
        <w:color w:val="6F61B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8"/>
  </w:num>
  <w:num w:numId="6">
    <w:abstractNumId w:val="2"/>
  </w:num>
  <w:num w:numId="7">
    <w:abstractNumId w:val="1"/>
  </w:num>
  <w:num w:numId="8">
    <w:abstractNumId w:val="5"/>
  </w:num>
  <w:num w:numId="9">
    <w:abstractNumId w:val="7"/>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15"/>
    <w:rsid w:val="00036D4E"/>
    <w:rsid w:val="000847AD"/>
    <w:rsid w:val="00090473"/>
    <w:rsid w:val="000B1014"/>
    <w:rsid w:val="000E07EF"/>
    <w:rsid w:val="0012162D"/>
    <w:rsid w:val="001327E9"/>
    <w:rsid w:val="0016683E"/>
    <w:rsid w:val="00171781"/>
    <w:rsid w:val="001725D9"/>
    <w:rsid w:val="0019038E"/>
    <w:rsid w:val="001B1A7E"/>
    <w:rsid w:val="001B5774"/>
    <w:rsid w:val="001D5BDF"/>
    <w:rsid w:val="0020734B"/>
    <w:rsid w:val="00210D70"/>
    <w:rsid w:val="00235733"/>
    <w:rsid w:val="0024208C"/>
    <w:rsid w:val="00246D4F"/>
    <w:rsid w:val="0026000D"/>
    <w:rsid w:val="00282C22"/>
    <w:rsid w:val="002A65EC"/>
    <w:rsid w:val="002D073F"/>
    <w:rsid w:val="002D7201"/>
    <w:rsid w:val="002E2959"/>
    <w:rsid w:val="002F02F6"/>
    <w:rsid w:val="00302232"/>
    <w:rsid w:val="003243B0"/>
    <w:rsid w:val="003267EB"/>
    <w:rsid w:val="00331303"/>
    <w:rsid w:val="00333B67"/>
    <w:rsid w:val="0035530B"/>
    <w:rsid w:val="003676BE"/>
    <w:rsid w:val="00373706"/>
    <w:rsid w:val="0037553A"/>
    <w:rsid w:val="00377AA8"/>
    <w:rsid w:val="003A6B72"/>
    <w:rsid w:val="003C10A8"/>
    <w:rsid w:val="00441851"/>
    <w:rsid w:val="00452341"/>
    <w:rsid w:val="00456666"/>
    <w:rsid w:val="00484002"/>
    <w:rsid w:val="00485C3A"/>
    <w:rsid w:val="004967FA"/>
    <w:rsid w:val="004A65E6"/>
    <w:rsid w:val="004B125C"/>
    <w:rsid w:val="004C3795"/>
    <w:rsid w:val="004F3C17"/>
    <w:rsid w:val="00526C74"/>
    <w:rsid w:val="00533FF4"/>
    <w:rsid w:val="00534014"/>
    <w:rsid w:val="00584B55"/>
    <w:rsid w:val="005A5BCC"/>
    <w:rsid w:val="005C55F9"/>
    <w:rsid w:val="005D05D9"/>
    <w:rsid w:val="005E5147"/>
    <w:rsid w:val="00677643"/>
    <w:rsid w:val="00677DD4"/>
    <w:rsid w:val="006C0888"/>
    <w:rsid w:val="006C36BA"/>
    <w:rsid w:val="006D0148"/>
    <w:rsid w:val="006E3B62"/>
    <w:rsid w:val="00707343"/>
    <w:rsid w:val="007A44DB"/>
    <w:rsid w:val="007E2B5B"/>
    <w:rsid w:val="00802FF0"/>
    <w:rsid w:val="008157C2"/>
    <w:rsid w:val="00817EEE"/>
    <w:rsid w:val="008254B5"/>
    <w:rsid w:val="00826394"/>
    <w:rsid w:val="00831BB0"/>
    <w:rsid w:val="00844896"/>
    <w:rsid w:val="0084543D"/>
    <w:rsid w:val="0084652D"/>
    <w:rsid w:val="008736AC"/>
    <w:rsid w:val="008A7E71"/>
    <w:rsid w:val="008C01A9"/>
    <w:rsid w:val="008C3FE0"/>
    <w:rsid w:val="008C4D53"/>
    <w:rsid w:val="008C539C"/>
    <w:rsid w:val="008E2809"/>
    <w:rsid w:val="008F7B15"/>
    <w:rsid w:val="0091155B"/>
    <w:rsid w:val="00926535"/>
    <w:rsid w:val="00947E11"/>
    <w:rsid w:val="009511D5"/>
    <w:rsid w:val="00972087"/>
    <w:rsid w:val="00982814"/>
    <w:rsid w:val="0098636D"/>
    <w:rsid w:val="00993033"/>
    <w:rsid w:val="009A663E"/>
    <w:rsid w:val="009D4BB6"/>
    <w:rsid w:val="009E4DC9"/>
    <w:rsid w:val="009F3CA3"/>
    <w:rsid w:val="00A337BD"/>
    <w:rsid w:val="00A357CD"/>
    <w:rsid w:val="00A47C53"/>
    <w:rsid w:val="00A83B8D"/>
    <w:rsid w:val="00A83C9F"/>
    <w:rsid w:val="00A95ADA"/>
    <w:rsid w:val="00AD0649"/>
    <w:rsid w:val="00AE17B7"/>
    <w:rsid w:val="00B27C10"/>
    <w:rsid w:val="00B305C0"/>
    <w:rsid w:val="00BB2F41"/>
    <w:rsid w:val="00BE0CAE"/>
    <w:rsid w:val="00C14292"/>
    <w:rsid w:val="00C3186B"/>
    <w:rsid w:val="00C675B8"/>
    <w:rsid w:val="00C70493"/>
    <w:rsid w:val="00C73DB9"/>
    <w:rsid w:val="00C84C66"/>
    <w:rsid w:val="00C9359B"/>
    <w:rsid w:val="00CA1663"/>
    <w:rsid w:val="00CB6777"/>
    <w:rsid w:val="00CF5E21"/>
    <w:rsid w:val="00D11476"/>
    <w:rsid w:val="00D3402E"/>
    <w:rsid w:val="00D379D5"/>
    <w:rsid w:val="00D76FCB"/>
    <w:rsid w:val="00D8467E"/>
    <w:rsid w:val="00DC3880"/>
    <w:rsid w:val="00DD4A15"/>
    <w:rsid w:val="00E16E6C"/>
    <w:rsid w:val="00E16FF3"/>
    <w:rsid w:val="00E6115F"/>
    <w:rsid w:val="00E86069"/>
    <w:rsid w:val="00EA2BB6"/>
    <w:rsid w:val="00EC1229"/>
    <w:rsid w:val="00EC2053"/>
    <w:rsid w:val="00EC3C1C"/>
    <w:rsid w:val="00ED642A"/>
    <w:rsid w:val="00EE5A35"/>
    <w:rsid w:val="00EF5623"/>
    <w:rsid w:val="00EF7BE8"/>
    <w:rsid w:val="00F021E9"/>
    <w:rsid w:val="00F94652"/>
    <w:rsid w:val="00FC452F"/>
    <w:rsid w:val="00FF3F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9BB39DA6-2B67-4B54-A516-EE6900C9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6D"/>
  </w:style>
  <w:style w:type="paragraph" w:styleId="Footer">
    <w:name w:val="footer"/>
    <w:basedOn w:val="Normal"/>
    <w:link w:val="FooterChar"/>
    <w:uiPriority w:val="99"/>
    <w:unhideWhenUsed/>
    <w:rsid w:val="0098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6D"/>
  </w:style>
  <w:style w:type="paragraph" w:customStyle="1" w:styleId="MainTitle">
    <w:name w:val="Main Title"/>
    <w:basedOn w:val="Normal"/>
    <w:link w:val="MainTitleChar"/>
    <w:qFormat/>
    <w:rsid w:val="002D7201"/>
    <w:pPr>
      <w:spacing w:after="120" w:line="228" w:lineRule="auto"/>
    </w:pPr>
    <w:rPr>
      <w:b/>
      <w:color w:val="6F61B0"/>
      <w:sz w:val="48"/>
      <w:szCs w:val="48"/>
    </w:rPr>
  </w:style>
  <w:style w:type="paragraph" w:styleId="BodyText">
    <w:name w:val="Body Text"/>
    <w:basedOn w:val="BodyText2"/>
    <w:link w:val="BodyTextChar"/>
    <w:qFormat/>
    <w:rsid w:val="0024208C"/>
    <w:pPr>
      <w:spacing w:after="160" w:line="259" w:lineRule="auto"/>
      <w:jc w:val="both"/>
    </w:pPr>
    <w:rPr>
      <w:rFonts w:ascii="Calibri" w:eastAsia="Times New Roman" w:hAnsi="Calibri" w:cs="Arial"/>
      <w:color w:val="595959"/>
      <w:szCs w:val="20"/>
    </w:rPr>
  </w:style>
  <w:style w:type="character" w:customStyle="1" w:styleId="MainTitleChar">
    <w:name w:val="Main Title Char"/>
    <w:basedOn w:val="DefaultParagraphFont"/>
    <w:link w:val="MainTitle"/>
    <w:rsid w:val="002D7201"/>
    <w:rPr>
      <w:b/>
      <w:color w:val="6F61B0"/>
      <w:sz w:val="48"/>
      <w:szCs w:val="48"/>
    </w:rPr>
  </w:style>
  <w:style w:type="character" w:customStyle="1" w:styleId="BodyTextChar">
    <w:name w:val="Body Text Char"/>
    <w:basedOn w:val="DefaultParagraphFont"/>
    <w:link w:val="BodyText"/>
    <w:rsid w:val="0024208C"/>
    <w:rPr>
      <w:rFonts w:ascii="Calibri" w:eastAsia="Times New Roman" w:hAnsi="Calibri" w:cs="Arial"/>
      <w:color w:val="595959"/>
      <w:szCs w:val="20"/>
    </w:rPr>
  </w:style>
  <w:style w:type="paragraph" w:styleId="BodyText2">
    <w:name w:val="Body Text 2"/>
    <w:basedOn w:val="Normal"/>
    <w:link w:val="BodyText2Char"/>
    <w:uiPriority w:val="99"/>
    <w:semiHidden/>
    <w:unhideWhenUsed/>
    <w:rsid w:val="008A7E71"/>
    <w:pPr>
      <w:spacing w:after="120" w:line="480" w:lineRule="auto"/>
    </w:pPr>
  </w:style>
  <w:style w:type="character" w:customStyle="1" w:styleId="BodyText2Char">
    <w:name w:val="Body Text 2 Char"/>
    <w:basedOn w:val="DefaultParagraphFont"/>
    <w:link w:val="BodyText2"/>
    <w:uiPriority w:val="99"/>
    <w:semiHidden/>
    <w:rsid w:val="008A7E71"/>
  </w:style>
  <w:style w:type="paragraph" w:customStyle="1" w:styleId="SubHeader">
    <w:name w:val="Sub Header"/>
    <w:basedOn w:val="BodyText"/>
    <w:link w:val="SubHeaderChar"/>
    <w:qFormat/>
    <w:rsid w:val="00441851"/>
    <w:pPr>
      <w:spacing w:after="0" w:line="216" w:lineRule="auto"/>
      <w:jc w:val="left"/>
    </w:pPr>
    <w:rPr>
      <w:b/>
      <w:color w:val="404040" w:themeColor="text1" w:themeTint="BF"/>
      <w:sz w:val="28"/>
      <w:szCs w:val="28"/>
    </w:rPr>
  </w:style>
  <w:style w:type="paragraph" w:styleId="Title">
    <w:name w:val="Title"/>
    <w:basedOn w:val="Normal"/>
    <w:next w:val="Normal"/>
    <w:link w:val="TitleChar"/>
    <w:uiPriority w:val="10"/>
    <w:rsid w:val="0024208C"/>
    <w:pPr>
      <w:spacing w:after="60" w:line="192" w:lineRule="auto"/>
    </w:pPr>
    <w:rPr>
      <w:rFonts w:ascii="Calibri" w:eastAsia="Calibri" w:hAnsi="Calibri" w:cs="Times New Roman"/>
      <w:b/>
      <w:caps/>
      <w:color w:val="39945E"/>
      <w:sz w:val="40"/>
      <w:szCs w:val="40"/>
    </w:rPr>
  </w:style>
  <w:style w:type="character" w:customStyle="1" w:styleId="SubHeaderChar">
    <w:name w:val="Sub Header Char"/>
    <w:basedOn w:val="BodyTextChar"/>
    <w:link w:val="SubHeader"/>
    <w:rsid w:val="00441851"/>
    <w:rPr>
      <w:rFonts w:ascii="Calibri" w:eastAsia="Times New Roman" w:hAnsi="Calibri" w:cs="Arial"/>
      <w:b/>
      <w:color w:val="404040" w:themeColor="text1" w:themeTint="BF"/>
      <w:sz w:val="28"/>
      <w:szCs w:val="28"/>
    </w:rPr>
  </w:style>
  <w:style w:type="character" w:customStyle="1" w:styleId="TitleChar">
    <w:name w:val="Title Char"/>
    <w:basedOn w:val="DefaultParagraphFont"/>
    <w:link w:val="Title"/>
    <w:uiPriority w:val="10"/>
    <w:rsid w:val="0024208C"/>
    <w:rPr>
      <w:rFonts w:ascii="Calibri" w:eastAsia="Calibri" w:hAnsi="Calibri" w:cs="Times New Roman"/>
      <w:b/>
      <w:caps/>
      <w:color w:val="39945E"/>
      <w:sz w:val="40"/>
      <w:szCs w:val="40"/>
    </w:rPr>
  </w:style>
  <w:style w:type="paragraph" w:customStyle="1" w:styleId="Disclaimer">
    <w:name w:val="Disclaimer"/>
    <w:basedOn w:val="Normal"/>
    <w:link w:val="DisclaimerChar"/>
    <w:qFormat/>
    <w:rsid w:val="008F7B15"/>
    <w:rPr>
      <w:rFonts w:ascii="Verdana" w:eastAsia="Calibri" w:hAnsi="Verdana" w:cs="Times New Roman"/>
      <w:color w:val="7F7F7F"/>
      <w:sz w:val="16"/>
    </w:rPr>
  </w:style>
  <w:style w:type="character" w:customStyle="1" w:styleId="DisclaimerChar">
    <w:name w:val="Disclaimer Char"/>
    <w:link w:val="Disclaimer"/>
    <w:rsid w:val="008F7B15"/>
    <w:rPr>
      <w:rFonts w:ascii="Verdana" w:eastAsia="Calibri" w:hAnsi="Verdana" w:cs="Times New Roman"/>
      <w:color w:val="7F7F7F"/>
      <w:sz w:val="16"/>
    </w:rPr>
  </w:style>
  <w:style w:type="paragraph" w:customStyle="1" w:styleId="BulletList">
    <w:name w:val="Bullet List"/>
    <w:basedOn w:val="BodyText"/>
    <w:link w:val="BulletListChar"/>
    <w:rsid w:val="00456666"/>
    <w:pPr>
      <w:spacing w:after="60"/>
    </w:pPr>
  </w:style>
  <w:style w:type="paragraph" w:customStyle="1" w:styleId="Checkbox">
    <w:name w:val="Checkbox"/>
    <w:basedOn w:val="BulletList"/>
    <w:link w:val="CheckboxChar"/>
    <w:qFormat/>
    <w:rsid w:val="0091155B"/>
    <w:pPr>
      <w:numPr>
        <w:numId w:val="7"/>
      </w:numPr>
      <w:tabs>
        <w:tab w:val="left" w:pos="540"/>
      </w:tabs>
      <w:spacing w:after="160"/>
      <w:contextualSpacing/>
    </w:pPr>
  </w:style>
  <w:style w:type="character" w:customStyle="1" w:styleId="BulletListChar">
    <w:name w:val="Bullet List Char"/>
    <w:basedOn w:val="BodyTextChar"/>
    <w:link w:val="BulletList"/>
    <w:rsid w:val="00456666"/>
    <w:rPr>
      <w:rFonts w:ascii="Calibri" w:eastAsia="Times New Roman" w:hAnsi="Calibri" w:cs="Arial"/>
      <w:color w:val="595959"/>
      <w:szCs w:val="20"/>
    </w:rPr>
  </w:style>
  <w:style w:type="paragraph" w:customStyle="1" w:styleId="Xbox">
    <w:name w:val="Xbox"/>
    <w:basedOn w:val="Checkbox"/>
    <w:link w:val="XboxChar"/>
    <w:qFormat/>
    <w:rsid w:val="00A83B8D"/>
    <w:pPr>
      <w:numPr>
        <w:numId w:val="11"/>
      </w:numPr>
    </w:pPr>
  </w:style>
  <w:style w:type="character" w:customStyle="1" w:styleId="CheckboxChar">
    <w:name w:val="Checkbox Char"/>
    <w:basedOn w:val="BulletListChar"/>
    <w:link w:val="Checkbox"/>
    <w:rsid w:val="0091155B"/>
    <w:rPr>
      <w:rFonts w:ascii="Calibri" w:eastAsia="Times New Roman" w:hAnsi="Calibri" w:cs="Arial"/>
      <w:color w:val="595959"/>
      <w:szCs w:val="20"/>
    </w:rPr>
  </w:style>
  <w:style w:type="paragraph" w:customStyle="1" w:styleId="CallOutBox">
    <w:name w:val="Call Out Box"/>
    <w:basedOn w:val="Footer"/>
    <w:link w:val="CallOutBoxChar"/>
    <w:qFormat/>
    <w:rsid w:val="002D7201"/>
    <w:pPr>
      <w:jc w:val="center"/>
    </w:pPr>
    <w:rPr>
      <w:b/>
      <w:i/>
      <w:color w:val="6F61B0"/>
      <w:sz w:val="36"/>
      <w:szCs w:val="36"/>
    </w:rPr>
  </w:style>
  <w:style w:type="character" w:customStyle="1" w:styleId="XboxChar">
    <w:name w:val="Xbox Char"/>
    <w:basedOn w:val="CheckboxChar"/>
    <w:link w:val="Xbox"/>
    <w:rsid w:val="00533FF4"/>
    <w:rPr>
      <w:rFonts w:ascii="Calibri" w:eastAsia="Times New Roman" w:hAnsi="Calibri" w:cs="Arial"/>
      <w:color w:val="595959"/>
      <w:szCs w:val="20"/>
    </w:rPr>
  </w:style>
  <w:style w:type="table" w:styleId="TableGrid">
    <w:name w:val="Table Grid"/>
    <w:basedOn w:val="TableNormal"/>
    <w:uiPriority w:val="39"/>
    <w:rsid w:val="00C8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OutBoxChar">
    <w:name w:val="Call Out Box Char"/>
    <w:basedOn w:val="FooterChar"/>
    <w:link w:val="CallOutBox"/>
    <w:rsid w:val="002D7201"/>
    <w:rPr>
      <w:b/>
      <w:i/>
      <w:color w:val="6F61B0"/>
      <w:sz w:val="36"/>
      <w:szCs w:val="36"/>
    </w:rPr>
  </w:style>
  <w:style w:type="paragraph" w:customStyle="1" w:styleId="TableHeader">
    <w:name w:val="Table Header"/>
    <w:basedOn w:val="BodyText"/>
    <w:link w:val="TableHeaderChar"/>
    <w:qFormat/>
    <w:rsid w:val="00C84C66"/>
    <w:pPr>
      <w:jc w:val="center"/>
    </w:pPr>
    <w:rPr>
      <w:b/>
      <w:color w:val="FFFFFF" w:themeColor="background1"/>
      <w:sz w:val="26"/>
      <w:szCs w:val="26"/>
    </w:rPr>
  </w:style>
  <w:style w:type="character" w:customStyle="1" w:styleId="TableHeaderChar">
    <w:name w:val="Table Header Char"/>
    <w:basedOn w:val="BodyTextChar"/>
    <w:link w:val="TableHeader"/>
    <w:rsid w:val="00C84C66"/>
    <w:rPr>
      <w:rFonts w:ascii="Calibri" w:eastAsia="Times New Roman" w:hAnsi="Calibri" w:cs="Arial"/>
      <w:b/>
      <w:color w:val="FFFFFF" w:themeColor="background1"/>
      <w:sz w:val="26"/>
      <w:szCs w:val="26"/>
    </w:rPr>
  </w:style>
  <w:style w:type="character" w:styleId="Hyperlink">
    <w:name w:val="Hyperlink"/>
    <w:basedOn w:val="DefaultParagraphFont"/>
    <w:uiPriority w:val="99"/>
    <w:unhideWhenUsed/>
    <w:rsid w:val="008C01A9"/>
    <w:rPr>
      <w:color w:val="0563C1" w:themeColor="hyperlink"/>
      <w:u w:val="single"/>
    </w:rPr>
  </w:style>
  <w:style w:type="paragraph" w:customStyle="1" w:styleId="BulletlistHighlight">
    <w:name w:val="Bullet list Highlight"/>
    <w:basedOn w:val="BodyText"/>
    <w:rsid w:val="008C01A9"/>
    <w:pPr>
      <w:numPr>
        <w:numId w:val="5"/>
      </w:numPr>
      <w:spacing w:before="120" w:after="120"/>
    </w:pPr>
    <w:rPr>
      <w:color w:val="FFFFFF"/>
    </w:rPr>
  </w:style>
  <w:style w:type="paragraph" w:customStyle="1" w:styleId="LR-Heading">
    <w:name w:val="LR-Heading"/>
    <w:basedOn w:val="Normal"/>
    <w:link w:val="LR-HeadingChar"/>
    <w:qFormat/>
    <w:rsid w:val="002D7201"/>
    <w:pPr>
      <w:spacing w:before="120" w:after="120" w:line="240" w:lineRule="auto"/>
    </w:pPr>
    <w:rPr>
      <w:rFonts w:ascii="Calibri" w:eastAsia="Times New Roman" w:hAnsi="Calibri" w:cs="Times New Roman"/>
      <w:b/>
      <w:caps/>
      <w:color w:val="6F61B0"/>
      <w:sz w:val="28"/>
      <w:szCs w:val="20"/>
    </w:rPr>
  </w:style>
  <w:style w:type="character" w:customStyle="1" w:styleId="LR-HeadingChar">
    <w:name w:val="LR-Heading Char"/>
    <w:link w:val="LR-Heading"/>
    <w:rsid w:val="002D7201"/>
    <w:rPr>
      <w:rFonts w:ascii="Calibri" w:eastAsia="Times New Roman" w:hAnsi="Calibri" w:cs="Times New Roman"/>
      <w:b/>
      <w:caps/>
      <w:color w:val="6F61B0"/>
      <w:sz w:val="28"/>
      <w:szCs w:val="20"/>
    </w:rPr>
  </w:style>
  <w:style w:type="paragraph" w:customStyle="1" w:styleId="LR-BulletList">
    <w:name w:val="LR-Bullet List"/>
    <w:basedOn w:val="BulletlistHighlight"/>
    <w:link w:val="LR-BulletListChar"/>
    <w:qFormat/>
    <w:rsid w:val="008C01A9"/>
    <w:rPr>
      <w:color w:val="595959"/>
    </w:rPr>
  </w:style>
  <w:style w:type="character" w:customStyle="1" w:styleId="LR-BulletListChar">
    <w:name w:val="LR-Bullet List Char"/>
    <w:link w:val="LR-BulletList"/>
    <w:rsid w:val="008C01A9"/>
    <w:rPr>
      <w:rFonts w:ascii="Calibri" w:eastAsia="Times New Roman" w:hAnsi="Calibri" w:cs="Arial"/>
      <w:color w:val="595959"/>
      <w:szCs w:val="20"/>
    </w:rPr>
  </w:style>
  <w:style w:type="paragraph" w:customStyle="1" w:styleId="SectionedHeader">
    <w:name w:val="Sectioned Header"/>
    <w:basedOn w:val="SubHeader"/>
    <w:link w:val="SectionedHeaderChar"/>
    <w:qFormat/>
    <w:rsid w:val="002D7201"/>
    <w:rPr>
      <w:color w:val="6F61B0"/>
      <w:sz w:val="32"/>
      <w:szCs w:val="32"/>
    </w:rPr>
  </w:style>
  <w:style w:type="character" w:customStyle="1" w:styleId="SectionedHeaderChar">
    <w:name w:val="Sectioned Header Char"/>
    <w:basedOn w:val="SubHeaderChar"/>
    <w:link w:val="SectionedHeader"/>
    <w:rsid w:val="002D7201"/>
    <w:rPr>
      <w:rFonts w:ascii="Calibri" w:eastAsia="Times New Roman" w:hAnsi="Calibri" w:cs="Arial"/>
      <w:b/>
      <w:color w:val="6F61B0"/>
      <w:sz w:val="32"/>
      <w:szCs w:val="32"/>
    </w:rPr>
  </w:style>
  <w:style w:type="numbering" w:customStyle="1" w:styleId="BulletedList">
    <w:name w:val="Bulleted List"/>
    <w:uiPriority w:val="99"/>
    <w:rsid w:val="00456666"/>
    <w:pPr>
      <w:numPr>
        <w:numId w:val="6"/>
      </w:numPr>
    </w:pPr>
  </w:style>
  <w:style w:type="paragraph" w:customStyle="1" w:styleId="Bullet">
    <w:name w:val="Bullet"/>
    <w:basedOn w:val="Normal"/>
    <w:link w:val="BulletChar"/>
    <w:qFormat/>
    <w:rsid w:val="00373706"/>
    <w:pPr>
      <w:numPr>
        <w:numId w:val="12"/>
      </w:numPr>
      <w:spacing w:after="120"/>
      <w:contextualSpacing/>
    </w:pPr>
    <w:rPr>
      <w:color w:val="595959"/>
    </w:rPr>
  </w:style>
  <w:style w:type="character" w:customStyle="1" w:styleId="BulletChar">
    <w:name w:val="Bullet Char"/>
    <w:basedOn w:val="DefaultParagraphFont"/>
    <w:link w:val="Bullet"/>
    <w:rsid w:val="00373706"/>
    <w:rPr>
      <w:color w:val="595959"/>
    </w:rPr>
  </w:style>
  <w:style w:type="character" w:customStyle="1" w:styleId="UnresolvedMention">
    <w:name w:val="Unresolved Mention"/>
    <w:basedOn w:val="DefaultParagraphFont"/>
    <w:uiPriority w:val="99"/>
    <w:semiHidden/>
    <w:unhideWhenUsed/>
    <w:rsid w:val="00DD4A15"/>
    <w:rPr>
      <w:color w:val="605E5C"/>
      <w:shd w:val="clear" w:color="auto" w:fill="E1DFDD"/>
    </w:rPr>
  </w:style>
  <w:style w:type="paragraph" w:customStyle="1" w:styleId="HText">
    <w:name w:val="H Text"/>
    <w:basedOn w:val="Normal"/>
    <w:link w:val="HTextChar"/>
    <w:qFormat/>
    <w:rsid w:val="00677643"/>
    <w:pPr>
      <w:ind w:right="13"/>
    </w:pPr>
    <w:rPr>
      <w:rFonts w:ascii="Calibri" w:eastAsia="Calibri" w:hAnsi="Calibri" w:cs="Times New Roman"/>
      <w:color w:val="FFFFFF"/>
      <w:sz w:val="24"/>
      <w:szCs w:val="24"/>
    </w:rPr>
  </w:style>
  <w:style w:type="character" w:customStyle="1" w:styleId="HTextChar">
    <w:name w:val="H Text Char"/>
    <w:link w:val="HText"/>
    <w:rsid w:val="00677643"/>
    <w:rPr>
      <w:rFonts w:ascii="Calibri" w:eastAsia="Calibri" w:hAnsi="Calibri" w:cs="Times New Roman"/>
      <w:color w:val="FFFFFF"/>
      <w:sz w:val="24"/>
      <w:szCs w:val="24"/>
    </w:rPr>
  </w:style>
  <w:style w:type="character" w:styleId="FollowedHyperlink">
    <w:name w:val="FollowedHyperlink"/>
    <w:basedOn w:val="DefaultParagraphFont"/>
    <w:uiPriority w:val="99"/>
    <w:semiHidden/>
    <w:unhideWhenUsed/>
    <w:rsid w:val="008157C2"/>
    <w:rPr>
      <w:color w:val="954F72" w:themeColor="followedHyperlink"/>
      <w:u w:val="single"/>
    </w:rPr>
  </w:style>
  <w:style w:type="paragraph" w:styleId="BalloonText">
    <w:name w:val="Balloon Text"/>
    <w:basedOn w:val="Normal"/>
    <w:link w:val="BalloonTextChar"/>
    <w:uiPriority w:val="99"/>
    <w:semiHidden/>
    <w:unhideWhenUsed/>
    <w:rsid w:val="0081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7C2"/>
    <w:rPr>
      <w:rFonts w:ascii="Segoe UI" w:hAnsi="Segoe UI" w:cs="Segoe UI"/>
      <w:sz w:val="18"/>
      <w:szCs w:val="18"/>
    </w:rPr>
  </w:style>
  <w:style w:type="character" w:styleId="CommentReference">
    <w:name w:val="annotation reference"/>
    <w:basedOn w:val="DefaultParagraphFont"/>
    <w:uiPriority w:val="99"/>
    <w:semiHidden/>
    <w:unhideWhenUsed/>
    <w:rsid w:val="004C3795"/>
    <w:rPr>
      <w:sz w:val="16"/>
      <w:szCs w:val="16"/>
    </w:rPr>
  </w:style>
  <w:style w:type="paragraph" w:styleId="CommentText">
    <w:name w:val="annotation text"/>
    <w:basedOn w:val="Normal"/>
    <w:link w:val="CommentTextChar"/>
    <w:uiPriority w:val="99"/>
    <w:semiHidden/>
    <w:unhideWhenUsed/>
    <w:rsid w:val="004C3795"/>
    <w:pPr>
      <w:spacing w:line="240" w:lineRule="auto"/>
    </w:pPr>
    <w:rPr>
      <w:sz w:val="20"/>
      <w:szCs w:val="20"/>
    </w:rPr>
  </w:style>
  <w:style w:type="character" w:customStyle="1" w:styleId="CommentTextChar">
    <w:name w:val="Comment Text Char"/>
    <w:basedOn w:val="DefaultParagraphFont"/>
    <w:link w:val="CommentText"/>
    <w:uiPriority w:val="99"/>
    <w:semiHidden/>
    <w:rsid w:val="004C3795"/>
    <w:rPr>
      <w:sz w:val="20"/>
      <w:szCs w:val="20"/>
    </w:rPr>
  </w:style>
  <w:style w:type="paragraph" w:styleId="CommentSubject">
    <w:name w:val="annotation subject"/>
    <w:basedOn w:val="CommentText"/>
    <w:next w:val="CommentText"/>
    <w:link w:val="CommentSubjectChar"/>
    <w:uiPriority w:val="99"/>
    <w:semiHidden/>
    <w:unhideWhenUsed/>
    <w:rsid w:val="004C3795"/>
    <w:rPr>
      <w:b/>
      <w:bCs/>
    </w:rPr>
  </w:style>
  <w:style w:type="character" w:customStyle="1" w:styleId="CommentSubjectChar">
    <w:name w:val="Comment Subject Char"/>
    <w:basedOn w:val="CommentTextChar"/>
    <w:link w:val="CommentSubject"/>
    <w:uiPriority w:val="99"/>
    <w:semiHidden/>
    <w:rsid w:val="004C37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footer1.xml.rels>&#65279;<?xml version="1.0" encoding="utf-8" standalone="yes"?><Relationships xmlns="http://schemas.openxmlformats.org/package/2006/relationships"><Relationship Id="rId1" Type="http://schemas.openxmlformats.org/officeDocument/2006/relationships/image" Target="media/image4.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I:\Content%20Development\MASTER%20TEMPLATES\Legal%20Content\2020%20Compliance%20Docs%20Redesign\Compliance%20Overview\HR_Compliance%20Overview.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HR_Compliance Overview</Template>
  <TotalTime>0</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Amado, Juan</dc:creator>
  <cp:lastModifiedBy>Amado, Juan</cp:lastModifiedBy>
  <cp:revision>2</cp:revision>
  <dcterms:created xsi:type="dcterms:W3CDTF">2020-10-13T18:03:00Z</dcterms:created>
  <dcterms:modified xsi:type="dcterms:W3CDTF">2020-10-13T18:03:00Z</dcterms:modified>
</cp:coreProperties>
</file>